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XYCG【2025】054</w:t>
      </w:r>
      <w:r>
        <w:rPr>
          <w:rFonts w:hint="eastAsia"/>
          <w:b/>
          <w:color w:val="auto"/>
          <w:sz w:val="32"/>
          <w:szCs w:val="32"/>
          <w:highlight w:val="none"/>
        </w:rPr>
        <w:t>号</w:t>
      </w:r>
    </w:p>
    <w:p>
      <w:pPr>
        <w:rPr>
          <w:rFonts w:hint="eastAsia" w:ascii="宋体"/>
          <w:b/>
          <w:color w:val="auto"/>
          <w:sz w:val="36"/>
          <w:szCs w:val="36"/>
          <w:highlight w:val="none"/>
        </w:rPr>
      </w:pPr>
    </w:p>
    <w:p>
      <w:pPr>
        <w:pStyle w:val="2"/>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2025年-2027年江阳公园及蓝滨城路灯采购项目</w:t>
      </w:r>
    </w:p>
    <w:bookmarkEnd w:id="0"/>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both"/>
        <w:rPr>
          <w:b/>
          <w:color w:val="auto"/>
          <w:sz w:val="32"/>
          <w:szCs w:val="32"/>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bookmarkStart w:id="1" w:name="OLE_LINK30"/>
      <w:r>
        <w:rPr>
          <w:rFonts w:hint="eastAsia"/>
          <w:b/>
          <w:color w:val="auto"/>
          <w:sz w:val="32"/>
          <w:szCs w:val="32"/>
          <w:highlight w:val="none"/>
          <w:lang w:val="en-US" w:eastAsia="zh-CN"/>
        </w:rPr>
        <w:t>泸州市江阳区醉美城市公园管理有限公司</w:t>
      </w:r>
      <w:bookmarkEnd w:id="1"/>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2" w:name="_Hlt101843627"/>
      <w:bookmarkEnd w:id="2"/>
      <w:bookmarkStart w:id="3" w:name="_Hlt101233737"/>
      <w:bookmarkEnd w:id="3"/>
      <w:bookmarkStart w:id="4" w:name="_Toc2899"/>
      <w:bookmarkStart w:id="5" w:name="_Toc91771145"/>
      <w:r>
        <w:rPr>
          <w:rFonts w:hint="eastAsia" w:ascii="黑体" w:hAnsi="黑体" w:eastAsia="黑体"/>
          <w:color w:val="auto"/>
          <w:sz w:val="36"/>
          <w:highlight w:val="none"/>
          <w:lang w:eastAsia="zh-CN"/>
        </w:rPr>
        <w:tab/>
      </w:r>
      <w:bookmarkStart w:id="6" w:name="_Toc29280"/>
      <w:r>
        <w:rPr>
          <w:rFonts w:hint="eastAsia" w:ascii="黑体" w:hAnsi="黑体" w:eastAsia="黑体"/>
          <w:color w:val="auto"/>
          <w:sz w:val="36"/>
          <w:highlight w:val="none"/>
        </w:rPr>
        <w:t>目 录</w:t>
      </w:r>
      <w:bookmarkEnd w:id="4"/>
      <w:bookmarkEnd w:id="5"/>
      <w:bookmarkEnd w:id="6"/>
      <w:r>
        <w:rPr>
          <w:rFonts w:hint="eastAsia" w:ascii="黑体" w:hAnsi="黑体" w:eastAsia="黑体"/>
          <w:color w:val="auto"/>
          <w:sz w:val="36"/>
          <w:highlight w:val="none"/>
          <w:lang w:eastAsia="zh-CN"/>
        </w:rPr>
        <w:tab/>
      </w:r>
    </w:p>
    <w:p>
      <w:pPr>
        <w:pStyle w:val="16"/>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bookmarkStart w:id="7" w:name="OLE_LINK33"/>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bookmarkEnd w:id="7"/>
    <w:p>
      <w:pPr>
        <w:pStyle w:val="17"/>
        <w:tabs>
          <w:tab w:val="right" w:leader="dot" w:pos="8306"/>
        </w:tabs>
        <w:ind w:left="0" w:leftChars="0" w:firstLine="420" w:firstLineChars="200"/>
        <w:rPr>
          <w:rFonts w:hint="eastAsia" w:ascii="宋体" w:hAnsi="宋体" w:eastAsia="宋体" w:cs="宋体"/>
          <w:color w:val="auto"/>
          <w:kern w:val="2"/>
          <w:szCs w:val="24"/>
          <w:highlight w:val="none"/>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十、技术参数响应表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第五章</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询价保证金退还申请表</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六</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第</w:t>
      </w:r>
      <w:r>
        <w:rPr>
          <w:rFonts w:hint="eastAsia" w:ascii="黑体" w:hAnsi="黑体" w:eastAsia="黑体"/>
          <w:lang w:val="en-US" w:eastAsia="zh-CN"/>
        </w:rPr>
        <w:t>七</w:t>
      </w:r>
      <w:r>
        <w:rPr>
          <w:rFonts w:hint="eastAsia" w:ascii="黑体" w:hAnsi="黑体" w:eastAsia="黑体"/>
        </w:rPr>
        <w:t xml:space="preserve">章 </w:t>
      </w:r>
      <w:r>
        <w:rPr>
          <w:rFonts w:hint="eastAsia" w:ascii="黑体" w:hAnsi="黑体" w:eastAsia="黑体"/>
          <w:highlight w:val="none"/>
        </w:rPr>
        <w:t>采购合同（草案）</w:t>
      </w:r>
      <w:r>
        <w:tab/>
      </w:r>
      <w:r>
        <w:rPr>
          <w:rFonts w:hint="eastAsia"/>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1"/>
        <w:tabs>
          <w:tab w:val="right" w:leader="dot" w:pos="8306"/>
        </w:tabs>
      </w:pPr>
    </w:p>
    <w:p>
      <w:pPr>
        <w:pStyle w:val="3"/>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8" w:name="_Toc32006"/>
      <w:bookmarkStart w:id="9" w:name="_Toc91771146"/>
      <w:r>
        <w:rPr>
          <w:rFonts w:hint="eastAsia" w:ascii="黑体" w:hAnsi="黑体" w:eastAsia="黑体"/>
          <w:color w:val="auto"/>
          <w:sz w:val="36"/>
          <w:highlight w:val="none"/>
        </w:rPr>
        <w:t>第一章 询价邀请公告</w:t>
      </w:r>
      <w:bookmarkEnd w:id="8"/>
      <w:bookmarkEnd w:id="9"/>
    </w:p>
    <w:p>
      <w:pPr>
        <w:spacing w:line="360" w:lineRule="auto"/>
        <w:ind w:firstLine="480" w:firstLineChars="200"/>
        <w:jc w:val="left"/>
        <w:rPr>
          <w:color w:val="auto"/>
          <w:sz w:val="24"/>
          <w:szCs w:val="28"/>
          <w:highlight w:val="none"/>
        </w:rPr>
      </w:pPr>
      <w:bookmarkStart w:id="112" w:name="_GoBack"/>
      <w:bookmarkEnd w:id="112"/>
      <w:r>
        <w:rPr>
          <w:color w:val="auto"/>
          <w:sz w:val="24"/>
          <w:highlight w:val="none"/>
        </w:rPr>
        <w:t>根据公司生产经营需要，拟对</w:t>
      </w:r>
      <w:r>
        <w:rPr>
          <w:rFonts w:hint="eastAsia" w:ascii="宋体" w:hAnsi="宋体" w:cs="宋体"/>
          <w:color w:val="auto"/>
          <w:sz w:val="24"/>
          <w:szCs w:val="24"/>
          <w:u w:val="single"/>
          <w:lang w:val="en-US" w:eastAsia="zh-CN"/>
        </w:rPr>
        <w:t>2025年-2027年江阳公园及蓝滨城路灯采购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XYCG【2025】054</w:t>
      </w:r>
      <w:r>
        <w:rPr>
          <w:color w:val="auto"/>
          <w:sz w:val="24"/>
          <w:highlight w:val="none"/>
        </w:rPr>
        <w:t>号。</w:t>
      </w:r>
    </w:p>
    <w:p>
      <w:pPr>
        <w:spacing w:line="360" w:lineRule="auto"/>
        <w:ind w:firstLine="480" w:firstLineChars="200"/>
        <w:rPr>
          <w:rFonts w:hint="eastAsia" w:eastAsia="宋体"/>
          <w:color w:val="auto"/>
          <w:sz w:val="24"/>
          <w:highlight w:val="none"/>
          <w:u w:val="none"/>
          <w:lang w:eastAsia="zh-CN"/>
        </w:rPr>
      </w:pPr>
      <w:r>
        <w:rPr>
          <w:color w:val="auto"/>
          <w:sz w:val="24"/>
          <w:highlight w:val="none"/>
        </w:rPr>
        <w:t>2.采购项目名称：</w:t>
      </w:r>
      <w:r>
        <w:rPr>
          <w:rFonts w:hint="eastAsia" w:ascii="宋体" w:hAnsi="宋体" w:cs="宋体"/>
          <w:color w:val="auto"/>
          <w:sz w:val="24"/>
          <w:szCs w:val="24"/>
          <w:u w:val="none"/>
          <w:lang w:val="en-US" w:eastAsia="zh-CN"/>
        </w:rPr>
        <w:t>2025年-2027年江阳公园及蓝滨城路灯采购</w:t>
      </w:r>
      <w:r>
        <w:rPr>
          <w:color w:val="auto"/>
          <w:sz w:val="24"/>
          <w:szCs w:val="32"/>
          <w:highlight w:val="none"/>
          <w:u w:val="none"/>
        </w:rPr>
        <w:t>项目</w:t>
      </w:r>
      <w:r>
        <w:rPr>
          <w:rFonts w:hint="eastAsia"/>
          <w:color w:val="auto"/>
          <w:sz w:val="24"/>
          <w:szCs w:val="32"/>
          <w:highlight w:val="none"/>
          <w:u w:val="none"/>
          <w:lang w:eastAsia="zh-CN"/>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bookmarkStart w:id="10" w:name="OLE_LINK20"/>
      <w:r>
        <w:rPr>
          <w:rFonts w:hint="eastAsia"/>
          <w:color w:val="auto"/>
          <w:sz w:val="24"/>
          <w:highlight w:val="none"/>
          <w:lang w:val="en-US" w:eastAsia="zh-CN"/>
        </w:rPr>
        <w:t>签订合同后2年，每次供货时间为接到采购人通知后5个日历日内</w:t>
      </w:r>
      <w:r>
        <w:rPr>
          <w:color w:val="auto"/>
          <w:sz w:val="24"/>
          <w:highlight w:val="none"/>
        </w:rPr>
        <w:t>。</w:t>
      </w:r>
      <w:bookmarkEnd w:id="10"/>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val="0"/>
          <w:bCs w:val="0"/>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cs="宋体"/>
          <w:b w:val="0"/>
          <w:bCs w:val="0"/>
          <w:color w:val="auto"/>
          <w:sz w:val="24"/>
          <w:szCs w:val="24"/>
          <w:highlight w:val="none"/>
          <w:lang w:val="en-US" w:eastAsia="zh-CN"/>
        </w:rPr>
        <w:t>84678</w:t>
      </w:r>
      <w:r>
        <w:rPr>
          <w:b w:val="0"/>
          <w:bCs w:val="0"/>
          <w:color w:val="auto"/>
          <w:sz w:val="24"/>
          <w:szCs w:val="24"/>
          <w:highlight w:val="none"/>
        </w:rPr>
        <w:t>元。</w:t>
      </w:r>
    </w:p>
    <w:p>
      <w:pPr>
        <w:spacing w:after="120" w:line="360" w:lineRule="auto"/>
        <w:ind w:firstLine="480" w:firstLineChars="200"/>
        <w:rPr>
          <w:color w:val="auto"/>
          <w:sz w:val="24"/>
          <w:szCs w:val="28"/>
          <w:highlight w:val="none"/>
        </w:rPr>
      </w:pPr>
      <w:r>
        <w:rPr>
          <w:rFonts w:hint="eastAsia" w:ascii="Times New Roman" w:hAnsi="Times New Roman" w:eastAsia="宋体" w:cs="Times New Roman"/>
          <w:color w:val="auto"/>
          <w:sz w:val="24"/>
          <w:highlight w:val="none"/>
          <w:lang w:val="en-US" w:eastAsia="zh-CN"/>
        </w:rPr>
        <w:t>我司管理的江阳公园和蓝滨城路灯数量较多，为保障日常亮灯率同时使损坏情况得到及时维修，我司拟采用公开询价方式采购一家路灯供应商提供我司所需路灯，预计费用42339元/年，期限2年，总费用预估为84678元</w:t>
      </w:r>
      <w:r>
        <w:rPr>
          <w:rFonts w:hint="eastAsia"/>
          <w:color w:val="auto"/>
          <w:spacing w:val="-4"/>
          <w:sz w:val="24"/>
          <w:highlight w:val="none"/>
          <w:lang w:val="en-US" w:eastAsia="zh-CN"/>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7"/>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bookmarkStart w:id="11" w:name="OLE_LINK2"/>
      <w:r>
        <w:rPr>
          <w:rFonts w:hint="eastAsia"/>
          <w:bCs/>
          <w:color w:val="auto"/>
          <w:sz w:val="24"/>
          <w:highlight w:val="none"/>
          <w:lang w:val="en-US" w:eastAsia="zh-CN"/>
        </w:rPr>
        <w:t>无</w:t>
      </w:r>
      <w:r>
        <w:rPr>
          <w:rFonts w:hint="eastAsia"/>
          <w:bCs/>
          <w:sz w:val="24"/>
          <w:lang w:val="en-US" w:eastAsia="zh-CN"/>
        </w:rPr>
        <w:t>。</w:t>
      </w:r>
      <w:bookmarkEnd w:id="11"/>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09</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29</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7"/>
        <w:ind w:firstLine="480"/>
        <w:rPr>
          <w:rFonts w:hint="eastAsia"/>
          <w:color w:val="auto"/>
          <w:sz w:val="24"/>
          <w:highlight w:val="none"/>
          <w:lang w:val="en-US" w:eastAsia="zh-CN"/>
        </w:rPr>
      </w:pPr>
      <w:r>
        <w:rPr>
          <w:color w:val="auto"/>
          <w:sz w:val="24"/>
          <w:highlight w:val="none"/>
        </w:rPr>
        <w:t xml:space="preserve">联系人： </w:t>
      </w:r>
      <w:r>
        <w:rPr>
          <w:rFonts w:hint="eastAsia"/>
          <w:color w:val="auto"/>
          <w:sz w:val="24"/>
          <w:highlight w:val="none"/>
          <w:lang w:val="en-US" w:eastAsia="zh-CN"/>
        </w:rPr>
        <w:t>李女士</w:t>
      </w:r>
    </w:p>
    <w:p>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0830-6661300</w:t>
      </w:r>
      <w:r>
        <w:rPr>
          <w:rFonts w:hint="eastAsia" w:ascii="宋体" w:hAnsi="宋体" w:eastAsia="宋体" w:cs="宋体"/>
          <w:color w:val="auto"/>
          <w:sz w:val="24"/>
          <w:highlight w:val="none"/>
        </w:rPr>
        <w:t xml:space="preserve">         </w:t>
      </w:r>
    </w:p>
    <w:p>
      <w:pPr>
        <w:pStyle w:val="19"/>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12" w:name="OLE_LINK4"/>
      <w:r>
        <w:rPr>
          <w:rFonts w:hint="eastAsia" w:ascii="宋体" w:hAnsi="宋体" w:eastAsia="宋体" w:cs="宋体"/>
          <w:color w:val="auto"/>
          <w:sz w:val="24"/>
          <w:highlight w:val="none"/>
          <w:lang w:val="en-US" w:eastAsia="zh-CN"/>
        </w:rPr>
        <w:t>6523011</w:t>
      </w:r>
      <w:bookmarkEnd w:id="12"/>
    </w:p>
    <w:p>
      <w:pPr>
        <w:pStyle w:val="19"/>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日</w:t>
      </w:r>
    </w:p>
    <w:p>
      <w:pPr>
        <w:pStyle w:val="19"/>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3" w:name="_Toc16517"/>
      <w:bookmarkStart w:id="14" w:name="_Toc91771147"/>
      <w:r>
        <w:rPr>
          <w:rFonts w:hint="eastAsia" w:ascii="黑体" w:hAnsi="黑体" w:eastAsia="黑体"/>
          <w:color w:val="auto"/>
          <w:sz w:val="36"/>
          <w:highlight w:val="none"/>
        </w:rPr>
        <w:t>第二章 询价须知</w:t>
      </w:r>
      <w:bookmarkEnd w:id="13"/>
      <w:bookmarkEnd w:id="14"/>
    </w:p>
    <w:p>
      <w:pPr>
        <w:spacing w:after="240" w:afterLines="100"/>
        <w:jc w:val="center"/>
        <w:outlineLvl w:val="1"/>
        <w:rPr>
          <w:rFonts w:hint="eastAsia" w:ascii="宋体" w:hAnsi="宋体"/>
          <w:b/>
          <w:color w:val="auto"/>
          <w:sz w:val="32"/>
          <w:highlight w:val="none"/>
        </w:rPr>
      </w:pPr>
      <w:bookmarkStart w:id="15" w:name="_Toc91771148"/>
      <w:bookmarkStart w:id="16" w:name="_Toc25064"/>
      <w:r>
        <w:rPr>
          <w:rFonts w:hint="eastAsia" w:ascii="宋体" w:hAnsi="宋体"/>
          <w:b/>
          <w:color w:val="auto"/>
          <w:sz w:val="32"/>
          <w:highlight w:val="none"/>
        </w:rPr>
        <w:t>一、供应商须知前附表</w:t>
      </w:r>
      <w:bookmarkEnd w:id="15"/>
      <w:bookmarkEnd w:id="16"/>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84678</w:t>
            </w:r>
            <w:r>
              <w:rPr>
                <w:rFonts w:hint="eastAsia"/>
                <w:color w:val="auto"/>
                <w:highlight w:val="none"/>
                <w:lang w:val="zh-CN"/>
              </w:rPr>
              <w:t>元；</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84678</w:t>
            </w:r>
            <w:r>
              <w:rPr>
                <w:rFonts w:hint="eastAsia"/>
                <w:color w:val="auto"/>
                <w:highlight w:val="none"/>
                <w:lang w:val="zh-CN"/>
              </w:rPr>
              <w:t>元；</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7" w:name="OLE_LINK1"/>
            <w:r>
              <w:rPr>
                <w:rFonts w:hint="eastAsia"/>
                <w:b/>
                <w:bCs/>
                <w:color w:val="auto"/>
                <w:highlight w:val="none"/>
                <w:lang w:eastAsia="zh-CN"/>
              </w:rPr>
              <w:t>☑</w:t>
            </w:r>
            <w:bookmarkEnd w:id="17"/>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en-US" w:eastAsia="zh-CN"/>
              </w:rPr>
              <w:t>询价保证金退还申请表；</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800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捌佰元</w:t>
            </w:r>
            <w:r>
              <w:rPr>
                <w:rFonts w:hint="eastAsia"/>
                <w:color w:val="auto"/>
                <w:highlight w:val="none"/>
                <w:lang w:bidi="ar"/>
              </w:rPr>
              <w:t>整）</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8"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8"/>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2025年-2027年江阳公园及蓝滨城路灯采购项目</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李女士</w:t>
            </w:r>
            <w:r>
              <w:rPr>
                <w:rFonts w:hint="eastAsia"/>
                <w:color w:val="auto"/>
                <w:highlight w:val="none"/>
              </w:rPr>
              <w:t xml:space="preserve"> </w:t>
            </w:r>
          </w:p>
          <w:p>
            <w:pPr>
              <w:pStyle w:val="28"/>
              <w:spacing w:line="300" w:lineRule="auto"/>
              <w:ind w:firstLine="240" w:firstLineChars="100"/>
              <w:jc w:val="both"/>
              <w:rPr>
                <w:rFonts w:hint="default"/>
                <w:color w:val="auto"/>
                <w:highlight w:val="none"/>
                <w:lang w:val="en-US"/>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9" w:name="OLE_LINK3"/>
            <w:r>
              <w:rPr>
                <w:rFonts w:hint="eastAsia"/>
                <w:b/>
                <w:bCs/>
                <w:color w:val="auto"/>
                <w:highlight w:val="none"/>
                <w:lang w:eastAsia="zh-CN"/>
              </w:rPr>
              <w:t>☑</w:t>
            </w:r>
            <w:bookmarkEnd w:id="19"/>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eastAsia="zh-CN"/>
              </w:rPr>
              <w:t>0830-6661300</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29</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10:00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color w:val="auto"/>
                <w:sz w:val="24"/>
                <w:highlight w:val="none"/>
                <w:lang w:val="en-US" w:eastAsia="zh-CN"/>
              </w:rPr>
              <w:t>签订合同后2年，每次供货时间为接到采购人通知后5个日历日内</w:t>
            </w:r>
            <w:r>
              <w:rPr>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20" w:name="_Toc91771149"/>
      <w:bookmarkStart w:id="21" w:name="_Toc14219"/>
      <w:r>
        <w:rPr>
          <w:rFonts w:hint="eastAsia" w:ascii="宋体" w:hAnsi="宋体"/>
          <w:b/>
          <w:color w:val="auto"/>
          <w:sz w:val="32"/>
          <w:highlight w:val="none"/>
        </w:rPr>
        <w:t>二、总则</w:t>
      </w:r>
      <w:bookmarkEnd w:id="20"/>
      <w:bookmarkEnd w:id="2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22" w:name="_Toc91771150"/>
      <w:bookmarkStart w:id="23" w:name="_Toc20713"/>
      <w:r>
        <w:rPr>
          <w:rFonts w:ascii="宋体" w:hAnsi="宋体"/>
          <w:b/>
          <w:color w:val="auto"/>
          <w:sz w:val="32"/>
          <w:highlight w:val="none"/>
        </w:rPr>
        <w:t>三、询价文件</w:t>
      </w:r>
      <w:bookmarkEnd w:id="22"/>
      <w:bookmarkEnd w:id="2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4" w:name="_Toc91771151"/>
      <w:bookmarkStart w:id="25" w:name="_Toc7918"/>
      <w:r>
        <w:rPr>
          <w:rFonts w:ascii="宋体" w:hAnsi="宋体"/>
          <w:b/>
          <w:color w:val="auto"/>
          <w:sz w:val="32"/>
          <w:highlight w:val="none"/>
        </w:rPr>
        <w:t>四、询价响应文件</w:t>
      </w:r>
      <w:bookmarkEnd w:id="24"/>
      <w:bookmarkEnd w:id="2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6" w:name="_Toc91771152"/>
      <w:bookmarkStart w:id="27" w:name="_Toc27568"/>
      <w:r>
        <w:rPr>
          <w:rFonts w:ascii="宋体" w:hAnsi="宋体"/>
          <w:b/>
          <w:color w:val="auto"/>
          <w:sz w:val="32"/>
          <w:highlight w:val="none"/>
        </w:rPr>
        <w:t>五、询价及评审过程</w:t>
      </w:r>
      <w:bookmarkEnd w:id="26"/>
      <w:bookmarkEnd w:id="2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8" w:name="_Toc91771153"/>
      <w:bookmarkStart w:id="29" w:name="_Toc4456"/>
      <w:r>
        <w:rPr>
          <w:rFonts w:ascii="宋体" w:hAnsi="宋体"/>
          <w:b/>
          <w:color w:val="auto"/>
          <w:sz w:val="32"/>
          <w:highlight w:val="none"/>
        </w:rPr>
        <w:t>六、成交事项</w:t>
      </w:r>
      <w:bookmarkEnd w:id="28"/>
      <w:bookmarkEnd w:id="2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30" w:name="_Toc11002"/>
      <w:bookmarkStart w:id="31" w:name="_Toc91771154"/>
      <w:r>
        <w:rPr>
          <w:rFonts w:ascii="宋体" w:hAnsi="宋体"/>
          <w:b/>
          <w:color w:val="auto"/>
          <w:sz w:val="32"/>
          <w:highlight w:val="none"/>
        </w:rPr>
        <w:t>七、合同事项</w:t>
      </w:r>
      <w:bookmarkEnd w:id="30"/>
      <w:bookmarkEnd w:id="31"/>
    </w:p>
    <w:p>
      <w:pPr>
        <w:spacing w:line="360" w:lineRule="auto"/>
        <w:rPr>
          <w:b/>
          <w:color w:val="auto"/>
          <w:sz w:val="24"/>
          <w:highlight w:val="none"/>
        </w:rPr>
      </w:pPr>
      <w:bookmarkStart w:id="32" w:name="_Toc101250646"/>
      <w:bookmarkStart w:id="33" w:name="_Toc101174151"/>
      <w:bookmarkStart w:id="34" w:name="_Toc209847069"/>
      <w:bookmarkStart w:id="35" w:name="_Toc430773927"/>
      <w:bookmarkStart w:id="36" w:name="_Toc101338364"/>
      <w:r>
        <w:rPr>
          <w:b/>
          <w:color w:val="auto"/>
          <w:sz w:val="24"/>
          <w:highlight w:val="none"/>
        </w:rPr>
        <w:t>25.签订合同</w:t>
      </w:r>
      <w:bookmarkEnd w:id="32"/>
      <w:bookmarkEnd w:id="33"/>
      <w:bookmarkEnd w:id="34"/>
      <w:bookmarkEnd w:id="35"/>
      <w:bookmarkEnd w:id="3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7" w:name="_Toc29183"/>
      <w:bookmarkStart w:id="38" w:name="_Toc91771155"/>
      <w:r>
        <w:rPr>
          <w:rFonts w:ascii="宋体" w:hAnsi="宋体"/>
          <w:b/>
          <w:color w:val="auto"/>
          <w:sz w:val="32"/>
          <w:highlight w:val="none"/>
        </w:rPr>
        <w:t>八、询价纪律要求</w:t>
      </w:r>
      <w:bookmarkEnd w:id="37"/>
      <w:bookmarkEnd w:id="3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9" w:name="_Toc1519"/>
      <w:bookmarkStart w:id="40" w:name="_Toc91771156"/>
      <w:r>
        <w:rPr>
          <w:rFonts w:ascii="宋体" w:hAnsi="宋体"/>
          <w:b/>
          <w:color w:val="auto"/>
          <w:sz w:val="32"/>
          <w:highlight w:val="none"/>
        </w:rPr>
        <w:t>九、询问、质疑和投诉</w:t>
      </w:r>
      <w:bookmarkEnd w:id="39"/>
      <w:bookmarkEnd w:id="4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41" w:name="_Toc91771157"/>
      <w:bookmarkStart w:id="42" w:name="_Toc25236"/>
      <w:r>
        <w:rPr>
          <w:rFonts w:ascii="宋体" w:hAnsi="宋体"/>
          <w:b/>
          <w:color w:val="auto"/>
          <w:sz w:val="32"/>
          <w:highlight w:val="none"/>
        </w:rPr>
        <w:t>十、其他</w:t>
      </w:r>
      <w:bookmarkEnd w:id="41"/>
      <w:bookmarkEnd w:id="4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3" w:name="_Toc183582232"/>
      <w:bookmarkStart w:id="44" w:name="_Toc217446057"/>
      <w:bookmarkStart w:id="45" w:name="_Toc183682369"/>
      <w:r>
        <w:rPr>
          <w:rFonts w:ascii="黑体" w:hAnsi="黑体" w:eastAsia="黑体"/>
          <w:color w:val="auto"/>
          <w:sz w:val="36"/>
          <w:highlight w:val="none"/>
        </w:rPr>
        <w:br w:type="page"/>
      </w:r>
      <w:bookmarkStart w:id="46" w:name="_Toc18678"/>
      <w:bookmarkStart w:id="47" w:name="_Toc91771158"/>
      <w:r>
        <w:rPr>
          <w:rFonts w:hint="eastAsia" w:ascii="黑体" w:hAnsi="黑体" w:eastAsia="黑体"/>
          <w:color w:val="auto"/>
          <w:sz w:val="36"/>
          <w:highlight w:val="none"/>
        </w:rPr>
        <w:t>第三章 项目技术、服务及商务要求</w:t>
      </w:r>
      <w:bookmarkEnd w:id="46"/>
      <w:bookmarkEnd w:id="47"/>
    </w:p>
    <w:p>
      <w:pPr>
        <w:outlineLvl w:val="1"/>
        <w:rPr>
          <w:rFonts w:hint="eastAsia" w:ascii="宋体" w:hAnsi="宋体"/>
          <w:b/>
          <w:color w:val="auto"/>
          <w:sz w:val="32"/>
          <w:highlight w:val="none"/>
        </w:rPr>
      </w:pPr>
      <w:bookmarkStart w:id="48" w:name="_Toc91771159"/>
      <w:bookmarkStart w:id="49" w:name="_Toc4052"/>
      <w:r>
        <w:rPr>
          <w:rFonts w:hint="eastAsia" w:ascii="宋体" w:hAnsi="宋体"/>
          <w:b/>
          <w:color w:val="auto"/>
          <w:sz w:val="32"/>
          <w:highlight w:val="none"/>
        </w:rPr>
        <w:t>一、项目概况</w:t>
      </w:r>
      <w:bookmarkEnd w:id="48"/>
      <w:bookmarkEnd w:id="49"/>
    </w:p>
    <w:p>
      <w:pPr>
        <w:pStyle w:val="2"/>
        <w:keepNext w:val="0"/>
        <w:keepLines w:val="0"/>
        <w:pageBreakBefore w:val="0"/>
        <w:widowControl w:val="0"/>
        <w:kinsoku/>
        <w:wordWrap/>
        <w:overflowPunct/>
        <w:topLinePunct w:val="0"/>
        <w:autoSpaceDE/>
        <w:autoSpaceDN/>
        <w:bidi w:val="0"/>
        <w:adjustRightInd/>
        <w:snapToGrid/>
        <w:spacing w:after="240" w:afterLines="100" w:line="360" w:lineRule="exact"/>
        <w:ind w:firstLine="560" w:firstLineChars="200"/>
        <w:textAlignment w:val="auto"/>
        <w:rPr>
          <w:color w:val="auto"/>
          <w:sz w:val="28"/>
          <w:szCs w:val="28"/>
          <w:highlight w:val="none"/>
        </w:rPr>
      </w:pPr>
      <w:r>
        <w:rPr>
          <w:rFonts w:hint="eastAsia" w:eastAsia="方正仿宋简体"/>
          <w:b w:val="0"/>
          <w:bCs w:val="0"/>
          <w:color w:val="auto"/>
          <w:sz w:val="28"/>
          <w:szCs w:val="28"/>
          <w:lang w:val="en-US" w:eastAsia="zh-CN"/>
        </w:rPr>
        <w:t>我司管理的江阳公园和蓝滨城路灯数量较多，为保障日常亮灯率同时使损坏情况得到及时维修，我司拟采用公开询价方式采购一家路灯供应商提供我司所需路灯，预计费用42339元/年，期限2年，总费用预估为84678元</w:t>
      </w:r>
      <w:r>
        <w:rPr>
          <w:rFonts w:hint="eastAsia" w:ascii="Times New Roman" w:hAnsi="Times New Roman" w:eastAsia="宋体" w:cs="Times New Roman"/>
          <w:color w:val="auto"/>
          <w:sz w:val="48"/>
          <w:szCs w:val="48"/>
          <w:highlight w:val="none"/>
          <w:lang w:val="en-US" w:eastAsia="zh-CN"/>
        </w:rPr>
        <w:t>。</w:t>
      </w:r>
    </w:p>
    <w:p>
      <w:pPr>
        <w:numPr>
          <w:ilvl w:val="0"/>
          <w:numId w:val="1"/>
        </w:numPr>
        <w:outlineLvl w:val="1"/>
        <w:rPr>
          <w:rFonts w:hint="eastAsia" w:ascii="宋体" w:hAnsi="宋体"/>
          <w:b/>
          <w:color w:val="auto"/>
          <w:sz w:val="32"/>
          <w:highlight w:val="none"/>
        </w:rPr>
      </w:pPr>
      <w:bookmarkStart w:id="50" w:name="_Toc91771160"/>
      <w:bookmarkStart w:id="51" w:name="_Toc16480"/>
      <w:r>
        <w:rPr>
          <w:rFonts w:hint="eastAsia" w:ascii="宋体" w:hAnsi="宋体"/>
          <w:b/>
          <w:color w:val="auto"/>
          <w:sz w:val="32"/>
          <w:highlight w:val="none"/>
        </w:rPr>
        <w:t>技术</w:t>
      </w:r>
      <w:r>
        <w:rPr>
          <w:rFonts w:hint="eastAsia" w:ascii="宋体" w:hAnsi="宋体"/>
          <w:b/>
          <w:color w:val="auto"/>
          <w:sz w:val="32"/>
          <w:highlight w:val="none"/>
          <w:lang w:val="en-US" w:eastAsia="zh-CN"/>
        </w:rPr>
        <w:t>参数</w:t>
      </w:r>
      <w:r>
        <w:rPr>
          <w:rFonts w:hint="eastAsia" w:ascii="宋体" w:hAnsi="宋体"/>
          <w:b/>
          <w:color w:val="auto"/>
          <w:sz w:val="32"/>
          <w:highlight w:val="none"/>
        </w:rPr>
        <w:t>要求</w:t>
      </w:r>
      <w:bookmarkEnd w:id="50"/>
      <w:bookmarkEnd w:id="51"/>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66"/>
        <w:gridCol w:w="656"/>
        <w:gridCol w:w="1466"/>
        <w:gridCol w:w="656"/>
        <w:gridCol w:w="656"/>
        <w:gridCol w:w="876"/>
        <w:gridCol w:w="876"/>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总价最高限价（元）</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,光通量10000Lm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317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20922</w:t>
            </w:r>
          </w:p>
        </w:tc>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1525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3"/>
                          <a:stretch>
                            <a:fillRect/>
                          </a:stretch>
                        </pic:blipFill>
                        <pic:spPr>
                          <a:xfrm>
                            <a:off x="0" y="0"/>
                            <a:ext cx="809625" cy="1152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,光通量15000Lm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24420</w:t>
            </w: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6784</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，光通量14000Lm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10110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LED，白光，寿命15000小时，通光亮27000Lm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8082</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白光、单排6w/120珠</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灯带接头</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两针针距可调节5-17mm</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LED球泡</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86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白光,寿命5000小时 ,光通量8000Lm，灯具品牌：公牛、雷士照明、欧普</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84678</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合计：84678元（含税13%）</w:t>
            </w:r>
          </w:p>
        </w:tc>
      </w:tr>
    </w:tbl>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bCs w:val="0"/>
          <w:sz w:val="24"/>
          <w:szCs w:val="24"/>
          <w:highlight w:val="none"/>
          <w:lang w:eastAsia="zh-CN"/>
        </w:rPr>
      </w:pPr>
      <w:r>
        <w:rPr>
          <w:rFonts w:hint="eastAsia" w:ascii="宋体" w:hAnsi="宋体" w:eastAsia="宋体" w:cs="宋体"/>
          <w:bCs/>
          <w:sz w:val="24"/>
          <w:szCs w:val="24"/>
          <w:highlight w:val="none"/>
          <w:lang w:eastAsia="zh-CN"/>
        </w:rPr>
        <w:t>注：</w:t>
      </w:r>
      <w:r>
        <w:rPr>
          <w:rFonts w:hint="eastAsia" w:ascii="宋体" w:hAnsi="宋体" w:cs="宋体"/>
          <w:bCs/>
          <w:sz w:val="24"/>
          <w:szCs w:val="24"/>
          <w:highlight w:val="none"/>
          <w:lang w:val="en-US" w:eastAsia="zh-CN"/>
        </w:rPr>
        <w:t>1.</w:t>
      </w:r>
      <w:r>
        <w:rPr>
          <w:rFonts w:hint="eastAsia" w:ascii="宋体" w:hAnsi="宋体" w:eastAsia="宋体" w:cs="宋体"/>
          <w:b/>
          <w:bCs w:val="0"/>
          <w:sz w:val="24"/>
          <w:szCs w:val="24"/>
          <w:highlight w:val="none"/>
          <w:lang w:eastAsia="zh-CN"/>
        </w:rPr>
        <w:t>本表数量为暂定数量，最终数量按照采购人实际采购并验收合格的数量为准。</w:t>
      </w:r>
      <w:bookmarkStart w:id="52" w:name="_Toc1461"/>
      <w:bookmarkStart w:id="53" w:name="_Toc91771161"/>
    </w:p>
    <w:p>
      <w:pPr>
        <w:ind w:firstLine="482" w:firstLineChars="200"/>
        <w:rPr>
          <w:rFonts w:hint="default"/>
          <w:lang w:val="en-US"/>
        </w:rPr>
      </w:pPr>
      <w:r>
        <w:rPr>
          <w:rFonts w:hint="eastAsia" w:ascii="宋体" w:hAnsi="宋体" w:cs="宋体"/>
          <w:b/>
          <w:bCs w:val="0"/>
          <w:sz w:val="24"/>
          <w:szCs w:val="24"/>
          <w:highlight w:val="none"/>
          <w:lang w:val="en-US" w:eastAsia="zh-CN"/>
        </w:rPr>
        <w:t>2.税率按照13%计算，最终按实结算。</w:t>
      </w:r>
    </w:p>
    <w:p>
      <w:pPr>
        <w:outlineLvl w:val="1"/>
        <w:rPr>
          <w:rFonts w:hint="eastAsia" w:ascii="宋体" w:hAnsi="宋体"/>
          <w:b/>
          <w:color w:val="auto"/>
          <w:sz w:val="32"/>
          <w:highlight w:val="none"/>
        </w:rPr>
      </w:pPr>
      <w:r>
        <w:rPr>
          <w:rFonts w:hint="eastAsia" w:ascii="宋体" w:hAnsi="宋体"/>
          <w:b/>
          <w:color w:val="auto"/>
          <w:sz w:val="32"/>
          <w:highlight w:val="none"/>
        </w:rPr>
        <w:t>三、服务要求</w:t>
      </w:r>
      <w:bookmarkEnd w:id="52"/>
      <w:bookmarkEnd w:id="53"/>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w:t>
      </w:r>
      <w:r>
        <w:rPr>
          <w:rFonts w:hint="eastAsia" w:ascii="宋体" w:hAnsi="宋体" w:cs="宋体"/>
          <w:bCs/>
          <w:sz w:val="24"/>
          <w:highlight w:val="none"/>
          <w:lang w:val="en-US" w:eastAsia="zh-CN"/>
        </w:rPr>
        <w:t>服务期限</w:t>
      </w:r>
      <w:r>
        <w:rPr>
          <w:rFonts w:hint="eastAsia" w:ascii="宋体" w:hAnsi="宋体" w:eastAsia="宋体" w:cs="宋体"/>
          <w:bCs/>
          <w:sz w:val="24"/>
          <w:highlight w:val="none"/>
          <w:lang w:val="en-US" w:eastAsia="zh-CN"/>
        </w:rPr>
        <w:t>：</w:t>
      </w:r>
      <w:r>
        <w:rPr>
          <w:rFonts w:hint="eastAsia" w:ascii="宋体" w:hAnsi="宋体" w:eastAsia="宋体" w:cs="宋体"/>
          <w:sz w:val="24"/>
          <w:highlight w:val="none"/>
          <w:lang w:val="en-US" w:eastAsia="zh-CN"/>
        </w:rPr>
        <w:t>合同签订后</w:t>
      </w:r>
      <w:r>
        <w:rPr>
          <w:rFonts w:hint="eastAsia" w:ascii="宋体" w:hAnsi="宋体" w:cs="宋体"/>
          <w:sz w:val="24"/>
          <w:highlight w:val="none"/>
          <w:lang w:val="en-US" w:eastAsia="zh-CN"/>
        </w:rPr>
        <w:t>2年</w:t>
      </w:r>
      <w:r>
        <w:rPr>
          <w:rFonts w:hint="eastAsia" w:ascii="宋体" w:hAnsi="宋体" w:eastAsia="宋体" w:cs="宋体"/>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2.供货时间：每次供货时间为接到采购人通知后5个日历日内完成供货，特殊情况，双方协商解决。</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3.交付产品时，需提交包括试验报告、合格证，灯具、灯源提供3c认证证书等，同时需符合国家标准(无国家标准的按行业标准、企业标准以此类推）。</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4.所提供的商品不侵犯第三方的专利权、商标权、著作权或其他知识产权。若供货商的行为侵犯了第三方的前述权利，并造成了第三方追究采购人的责任，所造成后果由供货商承担。</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5.质保期：验收合格后1年，质保期内产品出现损坏进行免费更换。</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6.防水等级：不得低于IP65。</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7.质量要求：防腐蚀、耐高温。</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8.路灯灯头、投光射灯品牌需为佛山照明、阳光或飞利浦；球泡品牌需为公牛、雷士照明或欧普。</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9.供应商提供产品须与采购人原有产品外观一致。</w:t>
      </w:r>
    </w:p>
    <w:p>
      <w:pPr>
        <w:pStyle w:val="3"/>
        <w:ind w:left="0" w:leftChars="0" w:firstLine="0" w:firstLineChars="0"/>
        <w:rPr>
          <w:rFonts w:hint="default"/>
          <w:color w:val="auto"/>
          <w:lang w:val="en-US"/>
        </w:rPr>
      </w:pPr>
    </w:p>
    <w:p>
      <w:pPr>
        <w:outlineLvl w:val="1"/>
        <w:rPr>
          <w:rFonts w:hint="eastAsia" w:ascii="宋体" w:hAnsi="宋体"/>
          <w:b/>
          <w:color w:val="auto"/>
          <w:sz w:val="32"/>
          <w:highlight w:val="none"/>
        </w:rPr>
      </w:pPr>
      <w:bookmarkStart w:id="54" w:name="_Toc91771162"/>
      <w:bookmarkStart w:id="55" w:name="_Toc27476"/>
      <w:r>
        <w:rPr>
          <w:rFonts w:hint="eastAsia" w:ascii="宋体" w:hAnsi="宋体"/>
          <w:b/>
          <w:color w:val="auto"/>
          <w:sz w:val="32"/>
          <w:highlight w:val="none"/>
        </w:rPr>
        <w:t>四、商务要求</w:t>
      </w:r>
      <w:bookmarkEnd w:id="54"/>
      <w:bookmarkEnd w:id="55"/>
    </w:p>
    <w:p>
      <w:pPr>
        <w:keepNext w:val="0"/>
        <w:keepLines w:val="0"/>
        <w:pageBreakBefore w:val="0"/>
        <w:widowControl w:val="0"/>
        <w:kinsoku/>
        <w:wordWrap/>
        <w:overflowPunct/>
        <w:topLinePunct w:val="0"/>
        <w:autoSpaceDE/>
        <w:autoSpaceDN/>
        <w:bidi w:val="0"/>
        <w:adjustRightInd/>
        <w:snapToGrid/>
        <w:spacing w:line="400" w:lineRule="exact"/>
        <w:ind w:left="0" w:leftChars="0" w:firstLine="218" w:firstLineChars="91"/>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付款方式：</w:t>
      </w:r>
      <w:r>
        <w:rPr>
          <w:rFonts w:hint="eastAsia" w:ascii="宋体" w:hAnsi="宋体" w:cs="宋体"/>
          <w:bCs/>
          <w:sz w:val="24"/>
          <w:highlight w:val="none"/>
          <w:lang w:val="en-US" w:eastAsia="zh-CN"/>
        </w:rPr>
        <w:t>每半年结算一次，</w:t>
      </w:r>
      <w:r>
        <w:rPr>
          <w:rFonts w:hint="eastAsia" w:ascii="宋体" w:hAnsi="宋体" w:eastAsia="宋体" w:cs="宋体"/>
          <w:bCs/>
          <w:sz w:val="24"/>
          <w:highlight w:val="none"/>
          <w:lang w:val="en-US" w:eastAsia="zh-CN"/>
        </w:rPr>
        <w:t>供应商提供等额票据后 （增值税专用发票），采购人在15个工作日内一次性支付本次</w:t>
      </w:r>
      <w:r>
        <w:rPr>
          <w:rFonts w:hint="eastAsia" w:ascii="宋体" w:hAnsi="宋体" w:cs="宋体"/>
          <w:bCs/>
          <w:sz w:val="24"/>
          <w:highlight w:val="none"/>
          <w:lang w:val="en-US" w:eastAsia="zh-CN"/>
        </w:rPr>
        <w:t>结算</w:t>
      </w:r>
      <w:r>
        <w:rPr>
          <w:rFonts w:hint="eastAsia" w:ascii="宋体" w:hAnsi="宋体" w:eastAsia="宋体" w:cs="宋体"/>
          <w:bCs/>
          <w:sz w:val="24"/>
          <w:highlight w:val="none"/>
          <w:lang w:val="en-US" w:eastAsia="zh-CN"/>
        </w:rPr>
        <w:t>金额的97%给供应商，预留3%作为质保金，在验收合格满一年后无息支付。</w:t>
      </w:r>
    </w:p>
    <w:p>
      <w:pPr>
        <w:spacing w:after="240" w:afterLines="100"/>
        <w:ind w:firstLine="643" w:firstLineChars="200"/>
        <w:rPr>
          <w:rFonts w:ascii="宋体" w:hAnsi="宋体"/>
          <w:b/>
          <w:color w:val="auto"/>
          <w:sz w:val="32"/>
          <w:szCs w:val="32"/>
          <w:highlight w:val="none"/>
        </w:rPr>
      </w:pP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56" w:name="_Toc91771163"/>
      <w:bookmarkStart w:id="57" w:name="_Toc6383"/>
      <w:r>
        <w:rPr>
          <w:rFonts w:hint="eastAsia" w:ascii="黑体" w:hAnsi="黑体" w:eastAsia="黑体"/>
          <w:color w:val="auto"/>
          <w:sz w:val="36"/>
          <w:highlight w:val="none"/>
        </w:rPr>
        <w:t>第四章 响应文件格式</w:t>
      </w:r>
      <w:bookmarkEnd w:id="56"/>
      <w:bookmarkEnd w:id="57"/>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XYCG【2025】054</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8" w:name="_Toc91771164"/>
      <w:bookmarkStart w:id="59" w:name="_Toc28811"/>
      <w:r>
        <w:rPr>
          <w:rFonts w:hint="eastAsia" w:ascii="黑体" w:hAnsi="黑体" w:eastAsia="黑体" w:cs="Arial"/>
          <w:bCs/>
          <w:color w:val="auto"/>
          <w:sz w:val="32"/>
          <w:szCs w:val="32"/>
          <w:highlight w:val="none"/>
        </w:rPr>
        <w:t>一、报价函</w:t>
      </w:r>
      <w:bookmarkEnd w:id="58"/>
      <w:bookmarkEnd w:id="59"/>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13 </w:t>
      </w:r>
      <w:r>
        <w:rPr>
          <w:rFonts w:hint="eastAsia"/>
          <w:color w:val="auto"/>
          <w:sz w:val="24"/>
          <w:highlight w:val="none"/>
          <w:lang w:val="en-US" w:eastAsia="zh-CN"/>
        </w:rPr>
        <w:t>%）</w:t>
      </w:r>
      <w:r>
        <w:rPr>
          <w:color w:val="auto"/>
          <w:sz w:val="24"/>
          <w:highlight w:val="none"/>
        </w:rPr>
        <w:t>，报价有效期为询价文件规定的起算之日起90天。</w:t>
      </w:r>
    </w:p>
    <w:p>
      <w:pPr>
        <w:pStyle w:val="12"/>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b w:val="0"/>
          <w:bCs w:val="0"/>
          <w:color w:val="auto"/>
          <w:sz w:val="24"/>
          <w:highlight w:val="none"/>
          <w:lang w:val="en-US" w:eastAsia="zh-CN"/>
        </w:rPr>
        <w:t>签订合同后2年，每次供货时间为接到采购人通知后5个日历日内</w:t>
      </w:r>
      <w:r>
        <w:rPr>
          <w:rFonts w:ascii="Times New Roman"/>
          <w:b w:val="0"/>
          <w:bCs w:val="0"/>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60" w:name="_Toc5379"/>
      <w:bookmarkStart w:id="61" w:name="_Toc91771165"/>
      <w:r>
        <w:rPr>
          <w:rFonts w:hint="eastAsia" w:ascii="黑体" w:hAnsi="黑体" w:eastAsia="黑体" w:cs="Arial"/>
          <w:bCs/>
          <w:color w:val="auto"/>
          <w:sz w:val="32"/>
          <w:szCs w:val="32"/>
          <w:highlight w:val="none"/>
        </w:rPr>
        <w:t>二、资格证明材料</w:t>
      </w:r>
      <w:bookmarkEnd w:id="60"/>
      <w:bookmarkEnd w:id="61"/>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2"/>
        <w:rPr>
          <w:rFonts w:hint="eastAsia"/>
        </w:rPr>
      </w:pPr>
    </w:p>
    <w:p>
      <w:pPr>
        <w:pStyle w:val="2"/>
        <w:rPr>
          <w:rFonts w:hint="eastAsia"/>
        </w:rPr>
      </w:pP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2" w:name="_Toc91771166"/>
      <w:bookmarkStart w:id="63" w:name="_Toc10594"/>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2"/>
      <w:bookmarkEnd w:id="63"/>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3"/>
        <w:rPr>
          <w:rFonts w:hint="eastAsia" w:ascii="Times New Roman" w:hAnsi="Times New Roman" w:eastAsia="宋体" w:cs="Times New Roman"/>
          <w:color w:val="auto"/>
          <w:kern w:val="2"/>
          <w:sz w:val="24"/>
          <w:szCs w:val="24"/>
          <w:highlight w:val="none"/>
          <w:lang w:val="en-US" w:eastAsia="zh-CN" w:bidi="ar-SA"/>
        </w:rPr>
      </w:pPr>
      <w:bookmarkStart w:id="64" w:name="_Toc7132"/>
      <w:bookmarkStart w:id="65" w:name="_Toc10212"/>
      <w:bookmarkStart w:id="66" w:name="_Toc13402"/>
      <w:bookmarkStart w:id="67" w:name="_Toc2082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4"/>
      <w:bookmarkEnd w:id="65"/>
      <w:bookmarkEnd w:id="66"/>
      <w:bookmarkEnd w:id="67"/>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8" w:name="_Toc22235"/>
      <w:bookmarkStart w:id="69"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68"/>
      <w:bookmarkEnd w:id="69"/>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66"/>
        <w:gridCol w:w="656"/>
        <w:gridCol w:w="1466"/>
        <w:gridCol w:w="656"/>
        <w:gridCol w:w="656"/>
        <w:gridCol w:w="876"/>
        <w:gridCol w:w="876"/>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,光通量10000Lm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152525"/>
                  <wp:effectExtent l="0" t="0" r="9525"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23"/>
                          <a:stretch>
                            <a:fillRect/>
                          </a:stretch>
                        </pic:blipFill>
                        <pic:spPr>
                          <a:xfrm>
                            <a:off x="0" y="0"/>
                            <a:ext cx="809625" cy="1152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,光通量15000Lm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，光通量14000Lm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LED，白光，寿命15000小时，通光亮27000Lm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白光、单排6w/120珠</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灯带接头</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两针针距可调节5-17mm</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LED球泡</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86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白光,寿命5000小时 ,光通量8000Lm，灯具品牌：公牛、雷士照明、欧普</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合计：     元（含税13%）</w:t>
            </w:r>
          </w:p>
        </w:tc>
      </w:tr>
    </w:tbl>
    <w:p>
      <w:pPr>
        <w:spacing w:before="0" w:beforeLines="0" w:line="240" w:lineRule="auto"/>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所有报价均用人民币表示，所报单价是包干价即包括但不限于材料费、人工费、运输费、搬运费、下车费、</w:t>
      </w:r>
      <w:r>
        <w:rPr>
          <w:rFonts w:hint="eastAsia" w:ascii="宋体" w:hAnsi="宋体" w:cs="宋体"/>
          <w:color w:val="000000"/>
          <w:sz w:val="24"/>
          <w:highlight w:val="none"/>
          <w:lang w:val="en-US" w:eastAsia="zh-CN"/>
        </w:rPr>
        <w:t>安装费、</w:t>
      </w:r>
      <w:r>
        <w:rPr>
          <w:rFonts w:hint="eastAsia" w:ascii="宋体" w:hAnsi="宋体" w:eastAsia="宋体" w:cs="宋体"/>
          <w:color w:val="000000"/>
          <w:sz w:val="24"/>
          <w:highlight w:val="none"/>
        </w:rPr>
        <w:t>管理费、利润、税金</w:t>
      </w:r>
      <w:r>
        <w:rPr>
          <w:rFonts w:hint="eastAsia"/>
          <w:b/>
          <w:bCs/>
          <w:color w:val="auto"/>
          <w:sz w:val="21"/>
          <w:szCs w:val="21"/>
          <w:highlight w:val="none"/>
        </w:rPr>
        <w:t>（</w:t>
      </w:r>
      <w:r>
        <w:rPr>
          <w:rFonts w:hint="eastAsia"/>
          <w:b/>
          <w:bCs/>
          <w:color w:val="auto"/>
          <w:sz w:val="21"/>
          <w:szCs w:val="21"/>
          <w:highlight w:val="none"/>
          <w:u w:val="single"/>
          <w:lang w:val="en-US" w:eastAsia="zh-CN"/>
        </w:rPr>
        <w:t xml:space="preserve"> 13 %</w:t>
      </w:r>
      <w:r>
        <w:rPr>
          <w:rFonts w:hint="eastAsia"/>
          <w:b/>
          <w:bCs/>
          <w:color w:val="auto"/>
          <w:sz w:val="21"/>
          <w:szCs w:val="21"/>
          <w:highlight w:val="none"/>
        </w:rPr>
        <w:t>）</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增值税专用发票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等完成本项目所需的一切费用。</w:t>
      </w: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2.报价表内的单价不能超过第三章中的最高单价限价和最高总价限价。</w:t>
      </w:r>
    </w:p>
    <w:p>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pPr>
        <w:pStyle w:val="2"/>
        <w:ind w:firstLine="241" w:firstLineChars="100"/>
        <w:rPr>
          <w:rFonts w:hint="default"/>
          <w:b/>
          <w:bCs/>
          <w:highlight w:val="yellow"/>
          <w:lang w:val="en-US"/>
        </w:rPr>
      </w:pPr>
      <w:r>
        <w:rPr>
          <w:rFonts w:hint="eastAsia" w:cs="宋体"/>
          <w:b/>
          <w:bCs/>
          <w:sz w:val="24"/>
          <w:szCs w:val="24"/>
          <w:highlight w:val="yellow"/>
          <w:lang w:val="en-US" w:eastAsia="zh-CN"/>
        </w:rPr>
        <w:t>4.供应商报价税率按照13%计算，最终结算按供应商开票税率按实结算（税率差价按实结算）。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70" w:name="_Toc91771168"/>
      <w:bookmarkStart w:id="71" w:name="_Toc1920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70"/>
      <w:bookmarkEnd w:id="71"/>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color w:val="auto"/>
          <w:sz w:val="24"/>
          <w:highlight w:val="none"/>
          <w:lang w:val="en-US" w:eastAsia="zh-CN"/>
        </w:rPr>
      </w:pPr>
      <w:r>
        <w:rPr>
          <w:rFonts w:hint="eastAsia"/>
          <w:color w:val="auto"/>
          <w:sz w:val="24"/>
          <w:highlight w:val="none"/>
        </w:rPr>
        <w:t>（七）根据采购项目提出的特殊条件：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72" w:name="_Toc9917"/>
      <w:bookmarkStart w:id="73" w:name="_Toc2589"/>
      <w:bookmarkStart w:id="74" w:name="_Toc2900"/>
      <w:bookmarkStart w:id="75" w:name="_Toc10674"/>
      <w:bookmarkStart w:id="76" w:name="_Toc91771169"/>
      <w:bookmarkStart w:id="77" w:name="_Toc16489"/>
      <w:bookmarkStart w:id="78"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72"/>
      <w:bookmarkEnd w:id="73"/>
      <w:bookmarkEnd w:id="74"/>
      <w:bookmarkEnd w:id="75"/>
      <w:bookmarkEnd w:id="76"/>
      <w:bookmarkEnd w:id="77"/>
      <w:bookmarkEnd w:id="7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9" w:name="_Toc7188"/>
      <w:bookmarkStart w:id="80" w:name="_Toc91771170"/>
      <w:r>
        <w:rPr>
          <w:rFonts w:hint="eastAsia" w:ascii="黑体" w:hAnsi="黑体" w:eastAsia="黑体" w:cs="Arial"/>
          <w:bCs/>
          <w:color w:val="auto"/>
          <w:sz w:val="32"/>
          <w:szCs w:val="32"/>
          <w:highlight w:val="none"/>
        </w:rPr>
        <w:t>七、供应商基本情况表</w:t>
      </w:r>
      <w:bookmarkEnd w:id="79"/>
      <w:bookmarkEnd w:id="80"/>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81" w:name="_Toc6647"/>
      <w:bookmarkStart w:id="82" w:name="_Toc91771171"/>
      <w:r>
        <w:rPr>
          <w:rFonts w:hint="eastAsia" w:ascii="黑体" w:hAnsi="黑体" w:eastAsia="黑体" w:cs="Arial"/>
          <w:bCs/>
          <w:color w:val="auto"/>
          <w:sz w:val="32"/>
          <w:szCs w:val="32"/>
          <w:highlight w:val="none"/>
        </w:rPr>
        <w:t>八、供应商本项目管理、技术、服务人员情况表</w:t>
      </w:r>
      <w:bookmarkEnd w:id="81"/>
      <w:bookmarkEnd w:id="82"/>
      <w:r>
        <w:rPr>
          <w:rFonts w:hint="eastAsia" w:ascii="黑体" w:hAnsi="黑体" w:eastAsia="黑体" w:cs="Arial"/>
          <w:bCs/>
          <w:color w:val="auto"/>
          <w:sz w:val="32"/>
          <w:szCs w:val="32"/>
          <w:highlight w:val="none"/>
          <w:lang w:eastAsia="zh-CN"/>
        </w:rPr>
        <w:t>（</w:t>
      </w:r>
      <w:r>
        <w:rPr>
          <w:rFonts w:hint="eastAsia" w:ascii="黑体" w:hAnsi="黑体" w:eastAsia="黑体" w:cs="Arial"/>
          <w:bCs/>
          <w:color w:val="auto"/>
          <w:sz w:val="32"/>
          <w:szCs w:val="32"/>
          <w:highlight w:val="none"/>
          <w:lang w:val="en-US" w:eastAsia="zh-CN"/>
        </w:rPr>
        <w:t xml:space="preserve">不填）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3" w:name="_Toc24739"/>
      <w:bookmarkStart w:id="84" w:name="_Toc91771172"/>
      <w:r>
        <w:rPr>
          <w:rFonts w:hint="eastAsia" w:ascii="黑体" w:hAnsi="黑体" w:eastAsia="黑体" w:cs="Arial"/>
          <w:bCs/>
          <w:color w:val="auto"/>
          <w:sz w:val="32"/>
          <w:szCs w:val="32"/>
          <w:highlight w:val="none"/>
        </w:rPr>
        <w:t>九、商务、技术、服务要求应答表</w:t>
      </w:r>
      <w:bookmarkEnd w:id="83"/>
      <w:bookmarkEnd w:id="84"/>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48"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w:t>
            </w:r>
            <w:r>
              <w:rPr>
                <w:rFonts w:hint="eastAsia" w:ascii="宋体" w:hAnsi="宋体" w:cs="宋体"/>
                <w:bCs/>
                <w:kern w:val="2"/>
                <w:sz w:val="24"/>
                <w:szCs w:val="24"/>
                <w:highlight w:val="none"/>
                <w:lang w:val="en-US" w:eastAsia="zh-CN" w:bidi="ar-SA"/>
              </w:rPr>
              <w:t>技术</w:t>
            </w:r>
            <w:r>
              <w:rPr>
                <w:rFonts w:hint="eastAsia" w:ascii="宋体" w:hAnsi="宋体" w:eastAsia="宋体" w:cs="宋体"/>
                <w:bCs/>
                <w:kern w:val="2"/>
                <w:sz w:val="24"/>
                <w:szCs w:val="24"/>
                <w:highlight w:val="none"/>
                <w:lang w:val="en-US" w:eastAsia="zh-CN" w:bidi="ar-SA"/>
              </w:rPr>
              <w:t>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eastAsia="宋体" w:cs="宋体"/>
                <w:bCs/>
                <w:kern w:val="2"/>
                <w:sz w:val="24"/>
                <w:szCs w:val="24"/>
                <w:highlight w:val="none"/>
                <w:lang w:val="en-US" w:eastAsia="zh-CN" w:bidi="ar-SA"/>
              </w:rPr>
              <w:t>第三章：服务要求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48" w:type="dxa"/>
            <w:noWrap w:val="0"/>
            <w:vAlign w:val="center"/>
          </w:tcPr>
          <w:p>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outlineLvl w:val="1"/>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第三章：</w:t>
            </w:r>
            <w:r>
              <w:rPr>
                <w:rFonts w:hint="eastAsia" w:ascii="宋体" w:hAnsi="宋体" w:eastAsia="宋体" w:cs="宋体"/>
                <w:bCs/>
                <w:kern w:val="2"/>
                <w:sz w:val="24"/>
                <w:szCs w:val="24"/>
                <w:highlight w:val="none"/>
                <w:lang w:val="en-US" w:eastAsia="zh-CN" w:bidi="ar-SA"/>
              </w:rPr>
              <w:t>商务要求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85" w:name="_Toc797"/>
    </w:p>
    <w:bookmarkEnd w:id="85"/>
    <w:p>
      <w:pPr>
        <w:spacing w:before="156" w:beforeLines="50" w:after="468" w:afterLines="150"/>
        <w:jc w:val="center"/>
        <w:outlineLvl w:val="1"/>
        <w:rPr>
          <w:rFonts w:hint="default" w:eastAsia="黑体"/>
          <w:b/>
          <w:color w:val="auto"/>
          <w:sz w:val="32"/>
          <w:szCs w:val="32"/>
          <w:highlight w:val="none"/>
          <w:lang w:val="en-US" w:eastAsia="zh-CN"/>
        </w:rPr>
      </w:pPr>
      <w:bookmarkStart w:id="86" w:name="_Toc12386"/>
      <w:bookmarkStart w:id="87" w:name="_Toc91771173"/>
      <w:bookmarkStart w:id="88" w:name="OLE_LINK26"/>
      <w:bookmarkStart w:id="89" w:name="_Toc35"/>
      <w:bookmarkStart w:id="90" w:name="_Toc91771176"/>
      <w:r>
        <w:rPr>
          <w:rFonts w:ascii="黑体" w:hAnsi="黑体" w:eastAsia="黑体" w:cs="Arial"/>
          <w:bCs/>
          <w:color w:val="auto"/>
          <w:sz w:val="32"/>
          <w:szCs w:val="32"/>
          <w:highlight w:val="none"/>
        </w:rPr>
        <w:t>十</w:t>
      </w:r>
      <w:r>
        <w:rPr>
          <w:rFonts w:hint="eastAsia" w:ascii="黑体" w:hAnsi="黑体" w:eastAsia="黑体" w:cs="Arial"/>
          <w:bCs/>
          <w:color w:val="auto"/>
          <w:sz w:val="32"/>
          <w:szCs w:val="32"/>
          <w:highlight w:val="none"/>
        </w:rPr>
        <w:t>、报价产品技术参数表</w:t>
      </w:r>
      <w:bookmarkEnd w:id="86"/>
      <w:bookmarkEnd w:id="87"/>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993"/>
        <w:gridCol w:w="1085"/>
        <w:gridCol w:w="1742"/>
        <w:gridCol w:w="2218"/>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询价文件要求</w:t>
            </w:r>
            <w:r>
              <w:rPr>
                <w:rFonts w:hint="eastAsia" w:ascii="宋体" w:hAnsi="宋体" w:eastAsia="宋体" w:cs="宋体"/>
                <w:i w:val="0"/>
                <w:iCs w:val="0"/>
                <w:color w:val="000000"/>
                <w:kern w:val="0"/>
                <w:sz w:val="22"/>
                <w:szCs w:val="22"/>
                <w:u w:val="none"/>
                <w:lang w:val="en-US" w:eastAsia="zh-CN" w:bidi="ar"/>
              </w:rPr>
              <w:t>规格</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供应商响应规格、</w:t>
            </w:r>
            <w:r>
              <w:rPr>
                <w:rFonts w:hint="eastAsia" w:ascii="宋体" w:hAnsi="宋体" w:eastAsia="宋体" w:cs="宋体"/>
                <w:i w:val="0"/>
                <w:iCs w:val="0"/>
                <w:color w:val="000000"/>
                <w:kern w:val="0"/>
                <w:sz w:val="22"/>
                <w:szCs w:val="22"/>
                <w:u w:val="none"/>
                <w:lang w:val="en-US" w:eastAsia="zh-CN" w:bidi="ar"/>
              </w:rPr>
              <w:t>品牌</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,光通量10000Lm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152525"/>
                  <wp:effectExtent l="0" t="0" r="9525"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23"/>
                          <a:stretch>
                            <a:fillRect/>
                          </a:stretch>
                        </pic:blipFill>
                        <pic:spPr>
                          <a:xfrm>
                            <a:off x="0" y="0"/>
                            <a:ext cx="809625" cy="1152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,光通量15000Lm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，光通量7000Lm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，光通量14000Lm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LED，白光，寿命15000小时，通光亮27000Lm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6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白光、单排6w/120珠</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灯带接头</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两针针距可调节5-17mm</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LED球泡</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白光,寿命5000小时 ,光通量8000Lm，灯具品牌：公牛、雷士照明、欧普</w:t>
            </w:r>
          </w:p>
        </w:tc>
        <w:tc>
          <w:tcPr>
            <w:tcW w:w="1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bl>
    <w:p>
      <w:pPr>
        <w:spacing w:line="360" w:lineRule="auto"/>
        <w:jc w:val="left"/>
        <w:rPr>
          <w:rFonts w:hint="eastAsia"/>
          <w:color w:val="auto"/>
          <w:sz w:val="24"/>
          <w:highlight w:val="none"/>
        </w:rPr>
      </w:pPr>
      <w:r>
        <w:rPr>
          <w:rFonts w:hint="eastAsia"/>
          <w:color w:val="auto"/>
          <w:sz w:val="24"/>
          <w:highlight w:val="none"/>
        </w:rPr>
        <w:t>注：1.供应商必须把采购项目的全部技术参数列入此表。</w:t>
      </w:r>
    </w:p>
    <w:p>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bookmarkEnd w:id="88"/>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ind w:firstLine="1800" w:firstLineChars="500"/>
        <w:jc w:val="both"/>
        <w:outlineLvl w:val="0"/>
        <w:rPr>
          <w:rStyle w:val="30"/>
          <w:rFonts w:hint="eastAsia"/>
          <w:color w:val="auto"/>
          <w:highlight w:val="none"/>
        </w:rPr>
      </w:pPr>
      <w:r>
        <w:rPr>
          <w:rFonts w:hint="eastAsia" w:ascii="黑体" w:hAnsi="黑体" w:eastAsia="黑体"/>
          <w:color w:val="auto"/>
          <w:sz w:val="36"/>
          <w:highlight w:val="none"/>
        </w:rPr>
        <w:t>第五章 保证金退还申请书</w:t>
      </w: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9"/>
      <w:bookmarkEnd w:id="9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1" w:name="_Toc3151"/>
      <w:bookmarkStart w:id="92" w:name="_Toc91771177"/>
      <w:r>
        <w:rPr>
          <w:rFonts w:hint="eastAsia" w:ascii="宋体" w:hAnsi="宋体"/>
          <w:b/>
          <w:bCs/>
          <w:color w:val="auto"/>
          <w:sz w:val="24"/>
          <w:highlight w:val="none"/>
        </w:rPr>
        <w:t>一、询价程序</w:t>
      </w:r>
      <w:bookmarkEnd w:id="91"/>
      <w:bookmarkEnd w:id="9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3" w:name="_Toc3155"/>
      <w:bookmarkStart w:id="94" w:name="_Toc91771178"/>
      <w:r>
        <w:rPr>
          <w:rFonts w:hint="eastAsia" w:ascii="宋体" w:hAnsi="宋体"/>
          <w:b/>
          <w:bCs/>
          <w:color w:val="auto"/>
          <w:sz w:val="24"/>
          <w:highlight w:val="none"/>
        </w:rPr>
        <w:t>二、评审程序、评审方法、评审标准</w:t>
      </w:r>
      <w:bookmarkEnd w:id="93"/>
      <w:bookmarkEnd w:id="9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95" w:name="_Toc91771179"/>
      <w:bookmarkStart w:id="96" w:name="_Toc10073"/>
      <w:r>
        <w:rPr>
          <w:rFonts w:hint="eastAsia" w:ascii="宋体" w:hAnsi="宋体"/>
          <w:b/>
          <w:bCs/>
          <w:color w:val="auto"/>
          <w:sz w:val="24"/>
          <w:highlight w:val="none"/>
        </w:rPr>
        <w:t>三、评审纪律</w:t>
      </w:r>
      <w:bookmarkEnd w:id="95"/>
      <w:bookmarkEnd w:id="9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3"/>
      <w:bookmarkEnd w:id="44"/>
      <w:bookmarkEnd w:id="45"/>
      <w:bookmarkStart w:id="97" w:name="_Hlt101846155"/>
      <w:bookmarkEnd w:id="97"/>
      <w:bookmarkStart w:id="98" w:name="_Toc217446099"/>
      <w:bookmarkStart w:id="99" w:name="_Toc217446059"/>
    </w:p>
    <w:p>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100" w:name="_Toc11014"/>
      <w:bookmarkStart w:id="101"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98"/>
      <w:bookmarkEnd w:id="99"/>
      <w:bookmarkEnd w:id="100"/>
      <w:bookmarkEnd w:id="101"/>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甲</w:t>
      </w:r>
      <w:r>
        <w:rPr>
          <w:rFonts w:hint="eastAsia" w:ascii="宋体" w:hAnsi="宋体" w:eastAsia="宋体" w:cs="宋体"/>
          <w:b/>
          <w:bCs/>
          <w:color w:val="auto"/>
          <w:sz w:val="24"/>
          <w:szCs w:val="24"/>
          <w:lang w:eastAsia="zh-CN"/>
        </w:rPr>
        <w:t>方</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统一社会信用代码：</w:t>
      </w:r>
      <w:r>
        <w:rPr>
          <w:rFonts w:hint="eastAsia" w:ascii="宋体" w:hAnsi="宋体" w:eastAsia="宋体" w:cs="宋体"/>
          <w:sz w:val="24"/>
          <w:szCs w:val="24"/>
        </w:rPr>
        <w:t xml:space="preserve">  </w:t>
      </w: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法定代表人/负责人：</w:t>
      </w:r>
    </w:p>
    <w:p>
      <w:pPr>
        <w:pStyle w:val="2"/>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eastAsia="zh-CN"/>
        </w:rPr>
        <w:t>乙方：</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统一社会信用代码/身份证号码：</w:t>
      </w:r>
      <w:r>
        <w:rPr>
          <w:rFonts w:hint="eastAsia" w:ascii="宋体" w:hAnsi="宋体" w:eastAsia="宋体" w:cs="宋体"/>
          <w:b/>
          <w:bCs/>
          <w:sz w:val="24"/>
          <w:szCs w:val="24"/>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法定代表人/负责人：</w:t>
      </w:r>
    </w:p>
    <w:p>
      <w:pPr>
        <w:pStyle w:val="2"/>
        <w:rPr>
          <w:rFonts w:hint="eastAsia" w:ascii="宋体" w:hAnsi="宋体" w:eastAsia="宋体" w:cs="宋体"/>
          <w:sz w:val="24"/>
          <w:szCs w:val="24"/>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就 </w:t>
      </w:r>
      <w:r>
        <w:rPr>
          <w:rFonts w:hint="eastAsia" w:ascii="宋体" w:hAnsi="宋体" w:cs="宋体"/>
          <w:kern w:val="0"/>
          <w:sz w:val="24"/>
          <w:szCs w:val="24"/>
          <w:lang w:val="en-US" w:eastAsia="zh-CN" w:bidi="ar-SA"/>
        </w:rPr>
        <w:t>2025年-2027年江阳公园及蓝滨城路灯采购项目</w:t>
      </w:r>
      <w:r>
        <w:rPr>
          <w:rFonts w:hint="eastAsia" w:ascii="宋体" w:hAnsi="宋体" w:eastAsia="宋体" w:cs="宋体"/>
          <w:kern w:val="0"/>
          <w:sz w:val="24"/>
          <w:szCs w:val="24"/>
          <w:lang w:val="en-US" w:eastAsia="zh-CN" w:bidi="ar-SA"/>
        </w:rPr>
        <w:t>事宜,根据《中华人民共和国民法典》及</w:t>
      </w:r>
      <w:r>
        <w:rPr>
          <w:rFonts w:hint="eastAsia" w:ascii="宋体" w:hAnsi="宋体" w:cs="宋体"/>
          <w:kern w:val="0"/>
          <w:sz w:val="24"/>
          <w:szCs w:val="24"/>
          <w:lang w:val="en-US" w:eastAsia="zh-CN" w:bidi="ar-SA"/>
        </w:rPr>
        <w:t>2025年-2027年江阳公园及蓝滨城路灯采购</w:t>
      </w:r>
      <w:r>
        <w:rPr>
          <w:rFonts w:hint="eastAsia" w:ascii="宋体" w:hAnsi="宋体" w:eastAsia="宋体" w:cs="宋体"/>
          <w:kern w:val="0"/>
          <w:sz w:val="24"/>
          <w:szCs w:val="24"/>
          <w:lang w:val="en-US" w:eastAsia="zh-CN" w:bidi="ar-SA"/>
        </w:rPr>
        <w:t>项目（项目编号：XYCG[202</w:t>
      </w: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0号）的</w:t>
      </w:r>
      <w:bookmarkStart w:id="102" w:name="OLE_LINK28"/>
      <w:r>
        <w:rPr>
          <w:rFonts w:hint="eastAsia" w:ascii="宋体" w:hAnsi="宋体" w:eastAsia="宋体" w:cs="宋体"/>
          <w:kern w:val="0"/>
          <w:sz w:val="24"/>
          <w:szCs w:val="24"/>
          <w:lang w:val="en-US" w:eastAsia="zh-CN" w:bidi="ar-SA"/>
        </w:rPr>
        <w:t>《询价文件》</w:t>
      </w:r>
      <w:bookmarkEnd w:id="102"/>
      <w:r>
        <w:rPr>
          <w:rFonts w:hint="eastAsia" w:ascii="宋体" w:hAnsi="宋体" w:eastAsia="宋体" w:cs="宋体"/>
          <w:kern w:val="0"/>
          <w:sz w:val="24"/>
          <w:szCs w:val="24"/>
          <w:lang w:val="en-US" w:eastAsia="zh-CN" w:bidi="ar-SA"/>
        </w:rPr>
        <w:t>、乙方的</w:t>
      </w:r>
      <w:bookmarkStart w:id="103" w:name="OLE_LINK29"/>
      <w:r>
        <w:rPr>
          <w:rFonts w:hint="eastAsia" w:ascii="宋体" w:hAnsi="宋体" w:eastAsia="宋体" w:cs="宋体"/>
          <w:kern w:val="0"/>
          <w:sz w:val="24"/>
          <w:szCs w:val="24"/>
          <w:lang w:val="en-US" w:eastAsia="zh-CN" w:bidi="ar-SA"/>
        </w:rPr>
        <w:t>《响应文件》</w:t>
      </w:r>
      <w:bookmarkEnd w:id="103"/>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《成交通知书》，甲、乙双方充分协商，订立本合同</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合同的《询价文件》、《响应文件》、《成交通知书》等均为本合同不可分割的部分</w:t>
      </w:r>
      <w:r>
        <w:rPr>
          <w:rFonts w:hint="eastAsia" w:ascii="宋体" w:hAnsi="宋体" w:cs="宋体"/>
          <w:kern w:val="0"/>
          <w:sz w:val="24"/>
          <w:szCs w:val="24"/>
          <w:lang w:val="en-US" w:eastAsia="zh-CN" w:bidi="ar-SA"/>
        </w:rPr>
        <w:t>。</w:t>
      </w:r>
    </w:p>
    <w:p>
      <w:pPr>
        <w:pStyle w:val="8"/>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cs="Times New Roman"/>
          <w:b/>
          <w:bCs/>
          <w:kern w:val="2"/>
          <w:sz w:val="24"/>
          <w:szCs w:val="24"/>
          <w:lang w:val="en-US" w:eastAsia="zh-CN" w:bidi="ar-SA"/>
        </w:rPr>
      </w:pPr>
      <w:r>
        <w:rPr>
          <w:rFonts w:hint="eastAsia" w:cs="Times New Roman"/>
          <w:b/>
          <w:bCs/>
          <w:kern w:val="2"/>
          <w:sz w:val="24"/>
          <w:szCs w:val="24"/>
          <w:lang w:val="en-US" w:eastAsia="zh-CN" w:bidi="ar-SA"/>
        </w:rPr>
        <w:t xml:space="preserve"> </w:t>
      </w:r>
      <w:r>
        <w:rPr>
          <w:rFonts w:hint="eastAsia" w:ascii="Times New Roman" w:eastAsia="宋体" w:cs="Times New Roman"/>
          <w:b/>
          <w:bCs/>
          <w:kern w:val="2"/>
          <w:sz w:val="24"/>
          <w:szCs w:val="24"/>
          <w:lang w:val="en-US" w:eastAsia="zh-CN" w:bidi="ar-SA"/>
        </w:rPr>
        <w:t>合同</w:t>
      </w:r>
      <w:r>
        <w:rPr>
          <w:rFonts w:hint="eastAsia" w:cs="Times New Roman"/>
          <w:b/>
          <w:bCs/>
          <w:kern w:val="2"/>
          <w:sz w:val="24"/>
          <w:szCs w:val="24"/>
          <w:lang w:val="en-US" w:eastAsia="zh-CN" w:bidi="ar-SA"/>
        </w:rPr>
        <w:t>期限</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kern w:val="0"/>
          <w:sz w:val="24"/>
          <w:szCs w:val="24"/>
          <w:lang w:val="en-US" w:eastAsia="zh-CN" w:bidi="ar-SA"/>
        </w:rPr>
      </w:pPr>
      <w:r>
        <w:rPr>
          <w:rFonts w:hint="eastAsia" w:cs="Times New Roman"/>
          <w:kern w:val="2"/>
          <w:sz w:val="24"/>
          <w:szCs w:val="24"/>
          <w:lang w:val="en-US" w:eastAsia="zh-CN" w:bidi="ar-SA"/>
        </w:rPr>
        <w:t>本合同服务期限</w:t>
      </w:r>
      <w:r>
        <w:rPr>
          <w:rFonts w:hint="eastAsia" w:ascii="Times New Roman" w:eastAsia="宋体" w:cs="Times New Roman"/>
          <w:kern w:val="2"/>
          <w:sz w:val="24"/>
          <w:szCs w:val="24"/>
          <w:lang w:val="en-US" w:eastAsia="zh-CN" w:bidi="ar-SA"/>
        </w:rPr>
        <w:t>为</w:t>
      </w:r>
      <w:r>
        <w:rPr>
          <w:rFonts w:hint="eastAsia" w:cs="Times New Roman"/>
          <w:kern w:val="2"/>
          <w:sz w:val="24"/>
          <w:szCs w:val="24"/>
          <w:u w:val="single"/>
          <w:lang w:val="en-US" w:eastAsia="zh-CN" w:bidi="ar-SA"/>
        </w:rPr>
        <w:t xml:space="preserve"> 2年</w:t>
      </w:r>
      <w:r>
        <w:rPr>
          <w:rFonts w:hint="eastAsia" w:cs="Times New Roman"/>
          <w:kern w:val="2"/>
          <w:sz w:val="24"/>
          <w:szCs w:val="24"/>
          <w:lang w:val="en-US" w:eastAsia="zh-CN" w:bidi="ar-SA"/>
        </w:rPr>
        <w:t xml:space="preserve"> </w:t>
      </w:r>
      <w:r>
        <w:rPr>
          <w:rFonts w:hint="eastAsia" w:ascii="Times New Roman" w:eastAsia="宋体" w:cs="Times New Roman"/>
          <w:kern w:val="2"/>
          <w:sz w:val="24"/>
          <w:szCs w:val="24"/>
          <w:lang w:val="en-US" w:eastAsia="zh-CN" w:bidi="ar-SA"/>
        </w:rPr>
        <w:t>，即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日至</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年</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月</w:t>
      </w:r>
      <w:r>
        <w:rPr>
          <w:rFonts w:hint="eastAsia" w:ascii="Times New Roman" w:eastAsia="宋体" w:cs="Times New Roman"/>
          <w:kern w:val="2"/>
          <w:sz w:val="24"/>
          <w:szCs w:val="24"/>
          <w:u w:val="single"/>
          <w:lang w:val="en-US" w:eastAsia="zh-CN" w:bidi="ar-SA"/>
        </w:rPr>
        <w:t xml:space="preserve">   </w:t>
      </w:r>
      <w:r>
        <w:rPr>
          <w:rFonts w:hint="eastAsia" w:ascii="Times New Roman" w:eastAsia="宋体" w:cs="Times New Roman"/>
          <w:kern w:val="2"/>
          <w:sz w:val="24"/>
          <w:szCs w:val="24"/>
          <w:u w:val="none"/>
          <w:lang w:val="en-US" w:eastAsia="zh-CN" w:bidi="ar-SA"/>
        </w:rPr>
        <w:t xml:space="preserve"> 日，</w:t>
      </w:r>
    </w:p>
    <w:p>
      <w:pPr>
        <w:pStyle w:val="12"/>
        <w:numPr>
          <w:ilvl w:val="0"/>
          <w:numId w:val="5"/>
        </w:numP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 </w:t>
      </w:r>
      <w:bookmarkStart w:id="104" w:name="_Toc11457_WPSOffice_Level1"/>
      <w:r>
        <w:rPr>
          <w:rFonts w:hint="eastAsia" w:ascii="宋体" w:hAnsi="宋体" w:eastAsia="宋体" w:cs="宋体"/>
          <w:b/>
          <w:bCs/>
          <w:kern w:val="0"/>
          <w:sz w:val="24"/>
          <w:szCs w:val="24"/>
          <w:lang w:val="en-US" w:eastAsia="zh-CN" w:bidi="ar-SA"/>
        </w:rPr>
        <w:t>合同形式及合同金额</w:t>
      </w:r>
      <w:bookmarkEnd w:id="104"/>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 w:val="24"/>
          <w:szCs w:val="24"/>
          <w:lang w:val="en-US" w:eastAsia="zh-CN" w:bidi="ar-SA"/>
        </w:rPr>
      </w:pPr>
      <w:r>
        <w:rPr>
          <w:rFonts w:hint="eastAsia" w:ascii="Times New Roman" w:eastAsia="宋体" w:cs="Times New Roman"/>
          <w:kern w:val="2"/>
          <w:sz w:val="21"/>
          <w:lang w:val="en-US" w:eastAsia="zh-CN" w:bidi="ar-SA"/>
        </w:rPr>
        <w:t xml:space="preserve"> </w:t>
      </w: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合同形式：单价合同；单价包括但不限于：乙方每一项材料的单价包含但不限于材料费、人工费、运输费、装卸费、保险费、税金等完成供货所需全部费用。采购量为暂估数量，甲方有权对数量根据实际需求进行调整。</w:t>
      </w:r>
    </w:p>
    <w:p>
      <w:pPr>
        <w:pageBreakBefore w:val="0"/>
        <w:kinsoku/>
        <w:wordWrap/>
        <w:overflowPunct/>
        <w:topLinePunct w:val="0"/>
        <w:autoSpaceDE/>
        <w:autoSpaceDN/>
        <w:bidi w:val="0"/>
        <w:adjustRightInd/>
        <w:snapToGrid/>
        <w:spacing w:line="480" w:lineRule="exact"/>
        <w:ind w:firstLine="470" w:firstLineChars="196"/>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.合同金额：</w:t>
      </w:r>
      <w:r>
        <w:rPr>
          <w:rFonts w:hint="eastAsia" w:ascii="宋体" w:hAnsi="宋体" w:cs="宋体"/>
          <w:kern w:val="0"/>
          <w:sz w:val="24"/>
          <w:szCs w:val="24"/>
          <w:lang w:val="en-US" w:eastAsia="zh-CN" w:bidi="ar-SA"/>
        </w:rPr>
        <w:t>本</w:t>
      </w:r>
      <w:r>
        <w:rPr>
          <w:rFonts w:hint="eastAsia" w:ascii="宋体" w:hAnsi="宋体" w:eastAsia="宋体" w:cs="宋体"/>
          <w:kern w:val="0"/>
          <w:sz w:val="24"/>
          <w:szCs w:val="24"/>
          <w:lang w:val="en-US" w:eastAsia="zh-CN" w:bidi="ar-SA"/>
        </w:rPr>
        <w:t>合同价暂定为¥</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r>
        <w:rPr>
          <w:rFonts w:hint="eastAsia" w:ascii="宋体" w:hAnsi="宋体" w:cs="宋体"/>
          <w:kern w:val="0"/>
          <w:sz w:val="24"/>
          <w:szCs w:val="24"/>
          <w:lang w:val="en-US" w:eastAsia="zh-CN" w:bidi="ar-SA"/>
        </w:rPr>
        <w:t>（含税价）</w:t>
      </w:r>
      <w:r>
        <w:rPr>
          <w:rFonts w:hint="eastAsia" w:ascii="宋体" w:hAnsi="宋体" w:eastAsia="宋体" w:cs="宋体"/>
          <w:kern w:val="0"/>
          <w:sz w:val="24"/>
          <w:szCs w:val="24"/>
          <w:lang w:val="en-US" w:eastAsia="zh-CN" w:bidi="ar-SA"/>
        </w:rPr>
        <w:t>，大写</w:t>
      </w:r>
      <w:r>
        <w:rPr>
          <w:rFonts w:hint="eastAsia" w:ascii="宋体" w:hAnsi="宋体" w:eastAsia="宋体" w:cs="宋体"/>
          <w:kern w:val="0"/>
          <w:sz w:val="24"/>
          <w:szCs w:val="24"/>
          <w:u w:val="single"/>
          <w:lang w:val="en-US" w:eastAsia="zh-CN" w:bidi="ar-SA"/>
        </w:rPr>
        <w:t>：</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税率</w:t>
      </w:r>
      <w:r>
        <w:rPr>
          <w:rFonts w:hint="eastAsia" w:ascii="宋体" w:hAnsi="宋体" w:cs="宋体"/>
          <w:kern w:val="0"/>
          <w:sz w:val="24"/>
          <w:szCs w:val="24"/>
          <w:u w:val="single"/>
          <w:lang w:val="en-US" w:eastAsia="zh-CN" w:bidi="ar-SA"/>
        </w:rPr>
        <w:t xml:space="preserve">    </w:t>
      </w:r>
      <w:r>
        <w:rPr>
          <w:rFonts w:hint="eastAsia" w:ascii="宋体" w:hAnsi="宋体" w:cs="宋体"/>
          <w:kern w:val="0"/>
          <w:sz w:val="24"/>
          <w:szCs w:val="24"/>
          <w:lang w:val="en-US" w:eastAsia="zh-CN" w:bidi="ar-SA"/>
        </w:rPr>
        <w:t>% 。</w:t>
      </w:r>
      <w:r>
        <w:rPr>
          <w:rFonts w:hint="eastAsia" w:ascii="宋体" w:hAnsi="宋体" w:eastAsia="宋体" w:cs="宋体"/>
          <w:kern w:val="0"/>
          <w:sz w:val="24"/>
          <w:szCs w:val="24"/>
          <w:lang w:val="en-US" w:eastAsia="zh-CN" w:bidi="ar-SA"/>
        </w:rPr>
        <w:t>具体数量规格详见下表：</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166"/>
        <w:gridCol w:w="656"/>
        <w:gridCol w:w="1466"/>
        <w:gridCol w:w="656"/>
        <w:gridCol w:w="656"/>
        <w:gridCol w:w="876"/>
        <w:gridCol w:w="876"/>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,光通量10000Lm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09625" cy="1152525"/>
                  <wp:effectExtent l="0" t="0" r="9525"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23"/>
                          <a:stretch>
                            <a:fillRect/>
                          </a:stretch>
                        </pic:blipFill>
                        <pic:spPr>
                          <a:xfrm>
                            <a:off x="0" y="0"/>
                            <a:ext cx="809625" cy="1152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LED路灯头</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LED光源，白光，外壳加厚铸铝材质，寿命25000小时 ,光通量15000Lm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LED，白光，寿命10000小时 ，光通量14000Lm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投光射灯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LED，白光，寿命15000小时，通光亮27000Lm</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白光、单排6w/120珠</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灯带接头</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6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两针针距可调节5-17mm</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5"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LED球泡</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w:t>
            </w:r>
          </w:p>
        </w:tc>
        <w:tc>
          <w:tcPr>
            <w:tcW w:w="86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白光,寿命5000小时 ,光通量8000Lm，灯具品牌：公牛、雷士照明、欧普</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0"/>
                <w:szCs w:val="20"/>
                <w:u w:val="none"/>
                <w:lang w:val="en-US" w:eastAsia="zh-CN"/>
              </w:rPr>
              <w:t>合计：     元（含税13%）</w:t>
            </w:r>
          </w:p>
        </w:tc>
      </w:tr>
    </w:tbl>
    <w:p>
      <w:pPr>
        <w:pStyle w:val="12"/>
        <w:pageBreakBefore w:val="0"/>
        <w:kinsoku/>
        <w:wordWrap/>
        <w:overflowPunct/>
        <w:topLinePunct w:val="0"/>
        <w:autoSpaceDE/>
        <w:autoSpaceDN/>
        <w:bidi w:val="0"/>
        <w:adjustRightInd/>
        <w:snapToGrid/>
        <w:spacing w:line="480" w:lineRule="exact"/>
        <w:ind w:firstLine="487"/>
        <w:rPr>
          <w:rFonts w:hint="eastAsia" w:ascii="宋体" w:hAnsi="宋体" w:eastAsia="宋体" w:cs="宋体"/>
          <w:kern w:val="0"/>
          <w:sz w:val="24"/>
          <w:szCs w:val="24"/>
          <w:lang w:val="en-US" w:eastAsia="zh-CN" w:bidi="ar-SA"/>
        </w:rPr>
      </w:pPr>
    </w:p>
    <w:p>
      <w:pPr>
        <w:pStyle w:val="12"/>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第三条  付款方式</w:t>
      </w:r>
      <w:r>
        <w:rPr>
          <w:rFonts w:hint="eastAsia" w:hAnsi="宋体" w:cs="宋体"/>
          <w:b/>
          <w:bCs/>
          <w:kern w:val="0"/>
          <w:sz w:val="24"/>
          <w:szCs w:val="24"/>
          <w:lang w:val="en-US" w:eastAsia="zh-CN" w:bidi="ar-SA"/>
        </w:rPr>
        <w:t>：</w:t>
      </w:r>
    </w:p>
    <w:p>
      <w:pPr>
        <w:pStyle w:val="12"/>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b w:val="0"/>
          <w:bCs/>
          <w:color w:val="auto"/>
          <w:kern w:val="0"/>
          <w:sz w:val="24"/>
          <w:szCs w:val="24"/>
          <w:lang w:val="en-US" w:eastAsia="zh-CN" w:bidi="ar-SA"/>
        </w:rPr>
      </w:pPr>
      <w:r>
        <w:rPr>
          <w:rFonts w:hint="eastAsia" w:ascii="宋体" w:hAnsi="宋体" w:cs="宋体"/>
          <w:bCs/>
          <w:sz w:val="24"/>
          <w:highlight w:val="none"/>
          <w:lang w:val="en-US" w:eastAsia="zh-CN"/>
        </w:rPr>
        <w:t>每半年结算一次，</w:t>
      </w:r>
      <w:r>
        <w:rPr>
          <w:rFonts w:hint="eastAsia" w:hAnsi="宋体" w:cs="宋体"/>
          <w:bCs/>
          <w:sz w:val="24"/>
          <w:highlight w:val="none"/>
          <w:lang w:val="en-US" w:eastAsia="zh-CN"/>
        </w:rPr>
        <w:t>乙方</w:t>
      </w:r>
      <w:r>
        <w:rPr>
          <w:rFonts w:hint="eastAsia" w:ascii="宋体" w:hAnsi="宋体" w:eastAsia="宋体" w:cs="宋体"/>
          <w:bCs/>
          <w:sz w:val="24"/>
          <w:highlight w:val="none"/>
          <w:lang w:val="en-US" w:eastAsia="zh-CN"/>
        </w:rPr>
        <w:t>提供等额票据后 （增值税专用发票），</w:t>
      </w:r>
      <w:r>
        <w:rPr>
          <w:rFonts w:hint="eastAsia" w:hAnsi="宋体" w:cs="宋体"/>
          <w:bCs/>
          <w:sz w:val="24"/>
          <w:highlight w:val="none"/>
          <w:lang w:val="en-US" w:eastAsia="zh-CN"/>
        </w:rPr>
        <w:t>甲方</w:t>
      </w:r>
      <w:r>
        <w:rPr>
          <w:rFonts w:hint="eastAsia" w:ascii="宋体" w:hAnsi="宋体" w:eastAsia="宋体" w:cs="宋体"/>
          <w:bCs/>
          <w:sz w:val="24"/>
          <w:highlight w:val="none"/>
          <w:lang w:val="en-US" w:eastAsia="zh-CN"/>
        </w:rPr>
        <w:t>在15个工作日内一次性支付本次</w:t>
      </w:r>
      <w:r>
        <w:rPr>
          <w:rFonts w:hint="eastAsia" w:ascii="宋体" w:hAnsi="宋体" w:cs="宋体"/>
          <w:bCs/>
          <w:sz w:val="24"/>
          <w:highlight w:val="none"/>
          <w:lang w:val="en-US" w:eastAsia="zh-CN"/>
        </w:rPr>
        <w:t>结算</w:t>
      </w:r>
      <w:r>
        <w:rPr>
          <w:rFonts w:hint="eastAsia" w:ascii="宋体" w:hAnsi="宋体" w:eastAsia="宋体" w:cs="宋体"/>
          <w:bCs/>
          <w:sz w:val="24"/>
          <w:highlight w:val="none"/>
          <w:lang w:val="en-US" w:eastAsia="zh-CN"/>
        </w:rPr>
        <w:t>金额的97%给</w:t>
      </w:r>
      <w:r>
        <w:rPr>
          <w:rFonts w:hint="eastAsia" w:hAnsi="宋体" w:cs="宋体"/>
          <w:bCs/>
          <w:sz w:val="24"/>
          <w:highlight w:val="none"/>
          <w:lang w:val="en-US" w:eastAsia="zh-CN"/>
        </w:rPr>
        <w:t>乙方</w:t>
      </w:r>
      <w:r>
        <w:rPr>
          <w:rFonts w:hint="eastAsia" w:ascii="宋体" w:hAnsi="宋体" w:eastAsia="宋体" w:cs="宋体"/>
          <w:bCs/>
          <w:sz w:val="24"/>
          <w:highlight w:val="none"/>
          <w:lang w:val="en-US" w:eastAsia="zh-CN"/>
        </w:rPr>
        <w:t>，预留3%作为质保金，在验收合格满一年后无息支付</w:t>
      </w:r>
      <w:r>
        <w:rPr>
          <w:rFonts w:hint="eastAsia" w:hAnsi="宋体" w:cs="宋体"/>
          <w:b w:val="0"/>
          <w:bCs/>
          <w:color w:val="auto"/>
          <w:sz w:val="24"/>
          <w:highlight w:val="none"/>
          <w:lang w:val="en-US" w:eastAsia="zh-CN"/>
        </w:rPr>
        <w:t>。</w:t>
      </w:r>
    </w:p>
    <w:p>
      <w:pPr>
        <w:pStyle w:val="12"/>
        <w:pageBreakBefore w:val="0"/>
        <w:kinsoku/>
        <w:wordWrap/>
        <w:overflowPunct/>
        <w:topLinePunct w:val="0"/>
        <w:autoSpaceDE/>
        <w:autoSpaceDN/>
        <w:bidi w:val="0"/>
        <w:adjustRightInd/>
        <w:snapToGrid/>
        <w:spacing w:line="480" w:lineRule="exact"/>
        <w:rPr>
          <w:rFonts w:hint="default"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 xml:space="preserve">第四条 </w:t>
      </w:r>
      <w:r>
        <w:rPr>
          <w:rFonts w:hint="eastAsia" w:hAnsi="宋体" w:cs="宋体"/>
          <w:b/>
          <w:bCs/>
          <w:kern w:val="0"/>
          <w:sz w:val="24"/>
          <w:szCs w:val="24"/>
          <w:lang w:val="en-US" w:eastAsia="zh-CN" w:bidi="ar-SA"/>
        </w:rPr>
        <w:t>服务要求</w:t>
      </w:r>
    </w:p>
    <w:p>
      <w:pPr>
        <w:pageBreakBefore w:val="0"/>
        <w:kinsoku/>
        <w:wordWrap/>
        <w:overflowPunct/>
        <w:topLinePunct w:val="0"/>
        <w:autoSpaceDE/>
        <w:autoSpaceDN/>
        <w:bidi w:val="0"/>
        <w:adjustRightInd/>
        <w:snapToGrid/>
        <w:spacing w:line="480" w:lineRule="exact"/>
        <w:ind w:firstLine="460" w:firstLineChars="192"/>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1.交货地点：</w:t>
      </w:r>
      <w:bookmarkStart w:id="105" w:name="OLE_LINK22"/>
      <w:r>
        <w:rPr>
          <w:rFonts w:hint="eastAsia" w:ascii="宋体" w:hAnsi="宋体" w:cs="宋体"/>
          <w:kern w:val="0"/>
          <w:sz w:val="24"/>
          <w:szCs w:val="24"/>
          <w:lang w:val="en-US" w:eastAsia="zh-CN" w:bidi="ar-SA"/>
        </w:rPr>
        <w:t>泸州市江阳区</w:t>
      </w:r>
      <w:r>
        <w:rPr>
          <w:rFonts w:hint="eastAsia" w:ascii="宋体" w:hAnsi="宋体" w:eastAsia="宋体" w:cs="宋体"/>
          <w:kern w:val="0"/>
          <w:sz w:val="24"/>
          <w:szCs w:val="24"/>
          <w:lang w:val="en-US" w:eastAsia="zh-CN" w:bidi="ar-SA"/>
        </w:rPr>
        <w:t>。</w:t>
      </w:r>
      <w:bookmarkEnd w:id="105"/>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2.运输风险：一切运杂费用由乙方负担；</w:t>
      </w:r>
      <w:r>
        <w:rPr>
          <w:rFonts w:hint="eastAsia" w:ascii="宋体" w:hAnsi="宋体" w:cs="宋体"/>
          <w:kern w:val="0"/>
          <w:sz w:val="24"/>
          <w:szCs w:val="24"/>
          <w:lang w:val="en-US" w:eastAsia="zh-CN" w:bidi="ar-SA"/>
        </w:rPr>
        <w:t>货物</w:t>
      </w:r>
      <w:r>
        <w:rPr>
          <w:rFonts w:hint="eastAsia" w:ascii="宋体" w:hAnsi="宋体" w:eastAsia="宋体" w:cs="宋体"/>
          <w:kern w:val="0"/>
          <w:sz w:val="24"/>
          <w:szCs w:val="24"/>
          <w:lang w:val="en-US" w:eastAsia="zh-CN" w:bidi="ar-SA"/>
        </w:rPr>
        <w:t>损毁、灭失风险</w:t>
      </w:r>
      <w:r>
        <w:rPr>
          <w:rFonts w:hint="eastAsia" w:ascii="宋体" w:hAnsi="宋体" w:cs="宋体"/>
          <w:kern w:val="0"/>
          <w:sz w:val="24"/>
          <w:szCs w:val="24"/>
          <w:lang w:val="en-US" w:eastAsia="zh-CN" w:bidi="ar-SA"/>
        </w:rPr>
        <w:t>风险</w:t>
      </w:r>
      <w:r>
        <w:rPr>
          <w:rFonts w:hint="eastAsia" w:ascii="宋体" w:hAnsi="宋体" w:eastAsia="宋体" w:cs="宋体"/>
          <w:kern w:val="0"/>
          <w:sz w:val="24"/>
          <w:szCs w:val="24"/>
          <w:lang w:val="en-US" w:eastAsia="zh-CN" w:bidi="ar-SA"/>
        </w:rPr>
        <w:t>由乙方</w:t>
      </w:r>
      <w:r>
        <w:rPr>
          <w:rFonts w:hint="eastAsia" w:ascii="宋体" w:hAnsi="宋体" w:cs="宋体"/>
          <w:kern w:val="0"/>
          <w:sz w:val="24"/>
          <w:szCs w:val="24"/>
          <w:lang w:val="en-US" w:eastAsia="zh-CN" w:bidi="ar-SA"/>
        </w:rPr>
        <w:t>将货物运送至甲方约定地点并经验收合格后转移到甲方。</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eastAsia" w:ascii="宋体" w:hAnsi="宋体" w:cs="宋体"/>
          <w:kern w:val="0"/>
          <w:sz w:val="24"/>
          <w:szCs w:val="24"/>
          <w:lang w:val="en-US" w:eastAsia="zh-CN" w:bidi="ar-SA"/>
        </w:rPr>
        <w:t>每次</w:t>
      </w:r>
      <w:r>
        <w:rPr>
          <w:rFonts w:hint="eastAsia" w:ascii="宋体" w:hAnsi="宋体" w:eastAsia="宋体" w:cs="宋体"/>
          <w:kern w:val="0"/>
          <w:sz w:val="24"/>
          <w:szCs w:val="24"/>
          <w:lang w:val="en-US" w:eastAsia="zh-CN" w:bidi="ar-SA"/>
        </w:rPr>
        <w:t>交货具体时间为接到甲方通知后</w:t>
      </w:r>
      <w:r>
        <w:rPr>
          <w:rFonts w:hint="eastAsia" w:ascii="宋体" w:hAnsi="宋体" w:cs="宋体"/>
          <w:kern w:val="0"/>
          <w:sz w:val="24"/>
          <w:szCs w:val="24"/>
          <w:u w:val="single"/>
          <w:lang w:val="en-US" w:eastAsia="zh-CN" w:bidi="ar-SA"/>
        </w:rPr>
        <w:t>5</w:t>
      </w:r>
      <w:r>
        <w:rPr>
          <w:rFonts w:hint="eastAsia" w:ascii="宋体" w:hAnsi="宋体" w:eastAsia="宋体" w:cs="宋体"/>
          <w:kern w:val="0"/>
          <w:sz w:val="24"/>
          <w:szCs w:val="24"/>
          <w:lang w:val="en-US" w:eastAsia="zh-CN" w:bidi="ar-SA"/>
        </w:rPr>
        <w:t>个日历日内，如遇特殊情况双方协商解决。</w:t>
      </w:r>
    </w:p>
    <w:p>
      <w:pPr>
        <w:pageBreakBefore w:val="0"/>
        <w:kinsoku/>
        <w:wordWrap/>
        <w:overflowPunct/>
        <w:topLinePunct w:val="0"/>
        <w:autoSpaceDE/>
        <w:autoSpaceDN/>
        <w:bidi w:val="0"/>
        <w:adjustRightInd/>
        <w:snapToGrid/>
        <w:spacing w:line="480" w:lineRule="exact"/>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4.交付产品时，乙方须向甲方提交包括试验报告、合格证，灯具、灯源提供3c认证证书等，同时需符合国家标准(无国家标准的按行业标准、企业标准以此类推）。</w:t>
      </w:r>
    </w:p>
    <w:p>
      <w:pPr>
        <w:pStyle w:val="12"/>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第五条  履约保证金</w:t>
      </w:r>
    </w:p>
    <w:p>
      <w:pPr>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乙方</w:t>
      </w:r>
      <w:r>
        <w:rPr>
          <w:rFonts w:hint="eastAsia" w:ascii="宋体" w:hAnsi="宋体" w:cs="宋体"/>
          <w:kern w:val="0"/>
          <w:sz w:val="24"/>
          <w:szCs w:val="24"/>
          <w:lang w:val="en-US" w:eastAsia="zh-CN" w:bidi="ar-SA"/>
        </w:rPr>
        <w:t>应按询价文件要求</w:t>
      </w:r>
      <w:r>
        <w:rPr>
          <w:rFonts w:hint="eastAsia" w:ascii="宋体" w:hAnsi="宋体" w:eastAsia="宋体" w:cs="宋体"/>
          <w:kern w:val="0"/>
          <w:sz w:val="24"/>
          <w:szCs w:val="24"/>
          <w:lang w:val="en-US" w:eastAsia="zh-CN" w:bidi="ar-SA"/>
        </w:rPr>
        <w:t>向甲方缴纳</w:t>
      </w:r>
      <w:r>
        <w:rPr>
          <w:rFonts w:hint="eastAsia" w:ascii="宋体" w:hAnsi="宋体" w:eastAsia="宋体" w:cs="宋体"/>
          <w:kern w:val="0"/>
          <w:sz w:val="24"/>
          <w:szCs w:val="24"/>
          <w:u w:val="single"/>
          <w:lang w:val="en-US" w:eastAsia="zh-CN" w:bidi="ar-SA"/>
        </w:rPr>
        <w:t xml:space="preserve">     </w:t>
      </w:r>
      <w:r>
        <w:rPr>
          <w:rFonts w:hint="eastAsia" w:ascii="宋体" w:hAnsi="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元履约保证金</w:t>
      </w:r>
      <w:r>
        <w:rPr>
          <w:rFonts w:hint="eastAsia" w:ascii="宋体" w:hAnsi="宋体" w:cs="宋体"/>
          <w:kern w:val="0"/>
          <w:sz w:val="24"/>
          <w:szCs w:val="24"/>
          <w:lang w:val="en-US" w:eastAsia="zh-CN" w:bidi="ar-SA"/>
        </w:rPr>
        <w:t>。乙方</w:t>
      </w:r>
      <w:r>
        <w:rPr>
          <w:rFonts w:hint="eastAsia" w:ascii="宋体" w:hAnsi="宋体" w:eastAsia="宋体" w:cs="宋体"/>
          <w:kern w:val="0"/>
          <w:sz w:val="24"/>
          <w:szCs w:val="24"/>
          <w:lang w:val="en-US" w:eastAsia="zh-CN" w:bidi="ar-SA"/>
        </w:rPr>
        <w:t>完</w:t>
      </w:r>
      <w:r>
        <w:rPr>
          <w:rFonts w:hint="eastAsia" w:ascii="宋体" w:hAnsi="宋体" w:cs="宋体"/>
          <w:kern w:val="0"/>
          <w:sz w:val="24"/>
          <w:szCs w:val="24"/>
          <w:lang w:val="en-US" w:eastAsia="zh-CN" w:bidi="ar-SA"/>
        </w:rPr>
        <w:t>成</w:t>
      </w:r>
      <w:r>
        <w:rPr>
          <w:rFonts w:hint="eastAsia" w:ascii="宋体" w:hAnsi="宋体" w:eastAsia="宋体" w:cs="宋体"/>
          <w:kern w:val="0"/>
          <w:sz w:val="24"/>
          <w:szCs w:val="24"/>
          <w:lang w:val="en-US" w:eastAsia="zh-CN" w:bidi="ar-SA"/>
        </w:rPr>
        <w:t>供货</w:t>
      </w:r>
      <w:r>
        <w:rPr>
          <w:rFonts w:hint="eastAsia" w:ascii="宋体" w:hAnsi="宋体" w:cs="宋体"/>
          <w:kern w:val="0"/>
          <w:sz w:val="24"/>
          <w:szCs w:val="24"/>
          <w:lang w:val="en-US" w:eastAsia="zh-CN" w:bidi="ar-SA"/>
        </w:rPr>
        <w:t>且无任何违约责任的，甲方</w:t>
      </w:r>
      <w:r>
        <w:rPr>
          <w:rFonts w:hint="eastAsia" w:ascii="宋体" w:hAnsi="宋体" w:eastAsia="宋体" w:cs="宋体"/>
          <w:kern w:val="0"/>
          <w:sz w:val="24"/>
          <w:szCs w:val="24"/>
          <w:lang w:val="en-US" w:eastAsia="zh-CN" w:bidi="ar-SA"/>
        </w:rPr>
        <w:t>凭乙方</w:t>
      </w:r>
      <w:r>
        <w:rPr>
          <w:rFonts w:hint="eastAsia" w:ascii="宋体" w:hAnsi="宋体" w:cs="宋体"/>
          <w:kern w:val="0"/>
          <w:sz w:val="24"/>
          <w:szCs w:val="24"/>
          <w:lang w:val="en-US" w:eastAsia="zh-CN" w:bidi="ar-SA"/>
        </w:rPr>
        <w:t>退款</w:t>
      </w:r>
      <w:r>
        <w:rPr>
          <w:rFonts w:hint="eastAsia" w:ascii="宋体" w:hAnsi="宋体" w:eastAsia="宋体" w:cs="宋体"/>
          <w:kern w:val="0"/>
          <w:sz w:val="24"/>
          <w:szCs w:val="24"/>
          <w:lang w:val="en-US" w:eastAsia="zh-CN" w:bidi="ar-SA"/>
        </w:rPr>
        <w:t>申请无息退还</w:t>
      </w:r>
      <w:r>
        <w:rPr>
          <w:rFonts w:hint="eastAsia" w:ascii="宋体" w:hAnsi="宋体" w:cs="宋体"/>
          <w:kern w:val="0"/>
          <w:sz w:val="24"/>
          <w:szCs w:val="24"/>
          <w:lang w:val="en-US" w:eastAsia="zh-CN" w:bidi="ar-SA"/>
        </w:rPr>
        <w:t>全部履约保证金</w:t>
      </w:r>
      <w:r>
        <w:rPr>
          <w:rFonts w:hint="eastAsia" w:ascii="宋体" w:hAnsi="宋体" w:eastAsia="宋体" w:cs="宋体"/>
          <w:kern w:val="0"/>
          <w:sz w:val="24"/>
          <w:szCs w:val="24"/>
          <w:lang w:val="en-US" w:eastAsia="zh-CN" w:bidi="ar-SA"/>
        </w:rPr>
        <w:t>。</w:t>
      </w:r>
    </w:p>
    <w:p>
      <w:pPr>
        <w:pStyle w:val="12"/>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第六条  质量要求</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1.所提供的商品不侵犯第三方的专利权、商标权、著作权或其他知识产权。若乙方的行为侵犯了第三方的前述权利，并造成了第三方追究甲方的责任，所造成后果由乙方承担。</w:t>
      </w:r>
    </w:p>
    <w:p>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2.防水等级：不得低于IP65。</w:t>
      </w:r>
    </w:p>
    <w:p>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3.质量要求：防腐蚀、耐高温。</w:t>
      </w:r>
    </w:p>
    <w:p>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4.路灯灯头、投光射灯品牌需为佛山照明、阳光或飞利浦；球泡品牌需为公牛、雷士照明、欧普。</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5.乙方提供产品须与甲方原有产品外观一致。</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第七条、相关权利及义务</w:t>
      </w:r>
    </w:p>
    <w:p>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1.甲方在验收时对不符合质量要求的产品有权拒绝接收和追究违约责任，或有权要求乙方更换同类型的其他品牌商品，单价按合同同类型同规格商品计价。</w:t>
      </w:r>
    </w:p>
    <w:p>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2.产品验收合格无质量问题，甲方在合同规定期限内履行付款义务。</w:t>
      </w:r>
    </w:p>
    <w:p>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3.乙方有权按照合同要求申请及时支付相应合同款项。</w:t>
      </w:r>
    </w:p>
    <w:p>
      <w:pPr>
        <w:pageBreakBefore w:val="0"/>
        <w:kinsoku/>
        <w:wordWrap/>
        <w:overflowPunct/>
        <w:topLinePunct w:val="0"/>
        <w:autoSpaceDE/>
        <w:autoSpaceDN/>
        <w:bidi w:val="0"/>
        <w:adjustRightInd/>
        <w:snapToGrid/>
        <w:spacing w:line="480" w:lineRule="exact"/>
        <w:ind w:left="0" w:leftChars="0" w:firstLine="420" w:firstLineChars="175"/>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4.乙方有义务按售后服务承诺提供良好的服务，并指派专人负责与甲方联系供货及售后服务事宜。</w:t>
      </w:r>
    </w:p>
    <w:p>
      <w:pPr>
        <w:pStyle w:val="20"/>
        <w:rPr>
          <w:rFonts w:hint="eastAsia"/>
          <w:lang w:val="en-US" w:eastAsia="zh-CN"/>
        </w:rPr>
      </w:pP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w:t>
      </w:r>
      <w:r>
        <w:rPr>
          <w:rFonts w:hint="eastAsia" w:ascii="宋体" w:hAnsi="宋体" w:cs="宋体"/>
          <w:b/>
          <w:bCs/>
          <w:kern w:val="0"/>
          <w:sz w:val="24"/>
          <w:szCs w:val="24"/>
          <w:lang w:val="en-US" w:eastAsia="zh-CN" w:bidi="ar-SA"/>
        </w:rPr>
        <w:t>八</w:t>
      </w:r>
      <w:r>
        <w:rPr>
          <w:rFonts w:hint="eastAsia" w:ascii="宋体" w:hAnsi="宋体" w:eastAsia="宋体" w:cs="宋体"/>
          <w:b/>
          <w:bCs/>
          <w:kern w:val="0"/>
          <w:sz w:val="24"/>
          <w:szCs w:val="24"/>
          <w:lang w:val="en-US" w:eastAsia="zh-CN" w:bidi="ar-SA"/>
        </w:rPr>
        <w:t>条  违约责任</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kern w:val="0"/>
          <w:sz w:val="24"/>
          <w:szCs w:val="24"/>
          <w:lang w:val="en-US" w:eastAsia="zh-CN" w:bidi="ar-SA"/>
        </w:rPr>
      </w:pPr>
      <w:bookmarkStart w:id="106" w:name="_Toc32224"/>
      <w:bookmarkStart w:id="107" w:name="_Toc19389"/>
      <w:bookmarkStart w:id="108" w:name="_Toc24118"/>
      <w:bookmarkStart w:id="109" w:name="_Toc22089"/>
      <w:bookmarkStart w:id="110" w:name="_Toc2042"/>
      <w:r>
        <w:rPr>
          <w:rFonts w:hint="eastAsia" w:ascii="宋体" w:hAnsi="宋体" w:eastAsia="宋体" w:cs="宋体"/>
          <w:kern w:val="0"/>
          <w:sz w:val="24"/>
          <w:szCs w:val="24"/>
          <w:lang w:val="en-US" w:eastAsia="zh-CN" w:bidi="ar-SA"/>
        </w:rPr>
        <w:t>若任意一方违反合同约定其他义务，应按合同金额的10%向相对方支付违约责任，违约方支付违约金后应继续履行合同。上述违约金不足以弥补相对方损失的，违约方应补足。</w:t>
      </w:r>
    </w:p>
    <w:p>
      <w:pPr>
        <w:pStyle w:val="12"/>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b/>
          <w:sz w:val="24"/>
          <w:szCs w:val="24"/>
        </w:rPr>
      </w:pPr>
      <w:r>
        <w:rPr>
          <w:rFonts w:hint="eastAsia" w:hAnsi="宋体" w:cs="宋体"/>
          <w:b/>
          <w:sz w:val="24"/>
          <w:szCs w:val="24"/>
          <w:lang w:val="en-US" w:eastAsia="zh-CN"/>
        </w:rPr>
        <w:t>第九条</w:t>
      </w:r>
      <w:r>
        <w:rPr>
          <w:rFonts w:hint="eastAsia" w:ascii="宋体" w:hAnsi="宋体" w:eastAsia="宋体" w:cs="宋体"/>
          <w:b/>
          <w:sz w:val="24"/>
          <w:szCs w:val="24"/>
        </w:rPr>
        <w:t>、合同标的减少与追加处理</w:t>
      </w:r>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1.如因在合同履行过程中有变更，存在减少有关产品数量情况，经甲</w:t>
      </w:r>
      <w:r>
        <w:rPr>
          <w:rFonts w:hint="eastAsia" w:ascii="宋体" w:hAnsi="宋体" w:eastAsia="宋体" w:cs="宋体"/>
          <w:sz w:val="24"/>
          <w:szCs w:val="24"/>
          <w:lang w:eastAsia="zh-CN"/>
        </w:rPr>
        <w:t>、</w:t>
      </w:r>
      <w:r>
        <w:rPr>
          <w:rFonts w:hint="eastAsia" w:ascii="宋体" w:hAnsi="宋体" w:eastAsia="宋体" w:cs="宋体"/>
          <w:sz w:val="24"/>
          <w:szCs w:val="24"/>
        </w:rPr>
        <w:t>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lang w:val="en-US" w:eastAsia="zh-CN"/>
        </w:rPr>
      </w:pPr>
      <w:r>
        <w:rPr>
          <w:rFonts w:hint="eastAsia" w:ascii="宋体" w:hAnsi="宋体" w:eastAsia="宋体" w:cs="宋体"/>
          <w:sz w:val="24"/>
          <w:szCs w:val="24"/>
        </w:rPr>
        <w:t>2.如因在合同履行过程中，需追加与本合同标的相同的货物，在不改变合同条款的前提下，经甲乙双方书面确认，按乙方中标时的固定单价对总价进行调增</w:t>
      </w:r>
      <w:r>
        <w:rPr>
          <w:rFonts w:hint="eastAsia" w:ascii="宋体" w:hAnsi="宋体" w:cs="宋体"/>
          <w:sz w:val="24"/>
          <w:szCs w:val="24"/>
          <w:lang w:eastAsia="zh-CN"/>
        </w:rPr>
        <w:t>，</w:t>
      </w:r>
      <w:r>
        <w:rPr>
          <w:rFonts w:hint="eastAsia" w:ascii="宋体" w:hAnsi="宋体" w:cs="宋体"/>
          <w:sz w:val="24"/>
          <w:szCs w:val="24"/>
          <w:lang w:val="en-US" w:eastAsia="zh-CN"/>
        </w:rPr>
        <w:t>增加金额达到合同金额10%及以上，双方应签订补充协议</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第十条  合同解除、变更、终止条款：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1、任意一方就合同履行有变更，应与相对方协商一致，签署补充协议。</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2、出现下列情形的，相对方有权解除合同，并</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eastAsia="zh-CN"/>
        </w:rPr>
        <w:t>过错方承担违约责任：</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（1）双方协商一致；</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（2）因不可抗力致使合同无法履行；</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（3）因乙方不按约提供货物的，经甲方催告后5日内仍不履行的；</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（4）一方明示或者以行为默示方式，表明不履行合同约定的；</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（5）其他违反合同约定行为，导致合同目的不能实现。</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（6）提供产品不符合质量要求或参数要求并在甲方催告后仍未作出处理的；</w:t>
      </w:r>
    </w:p>
    <w:p>
      <w:pPr>
        <w:pStyle w:val="2"/>
        <w:pageBreakBefore w:val="0"/>
        <w:kinsoku/>
        <w:wordWrap/>
        <w:overflowPunct/>
        <w:topLinePunct w:val="0"/>
        <w:autoSpaceDE/>
        <w:autoSpaceDN/>
        <w:bidi w:val="0"/>
        <w:adjustRightInd/>
        <w:snapToGrid/>
        <w:spacing w:after="0"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一</w:t>
      </w:r>
      <w:r>
        <w:rPr>
          <w:rFonts w:hint="eastAsia" w:ascii="宋体" w:hAnsi="宋体" w:eastAsia="宋体" w:cs="宋体"/>
          <w:b/>
          <w:bCs/>
          <w:kern w:val="0"/>
          <w:sz w:val="24"/>
          <w:szCs w:val="24"/>
          <w:lang w:val="en-US" w:eastAsia="zh-CN" w:bidi="ar-SA"/>
        </w:rPr>
        <w:t>条  廉洁条款</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2"/>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二</w:t>
      </w:r>
      <w:r>
        <w:rPr>
          <w:rFonts w:hint="eastAsia" w:ascii="宋体" w:hAnsi="宋体" w:eastAsia="宋体" w:cs="宋体"/>
          <w:b/>
          <w:bCs/>
          <w:kern w:val="0"/>
          <w:sz w:val="24"/>
          <w:szCs w:val="24"/>
          <w:lang w:val="en-US" w:eastAsia="zh-CN" w:bidi="ar-SA"/>
        </w:rPr>
        <w:t>条  不可抗力</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bookmarkStart w:id="111" w:name="_Toc217446114"/>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三</w:t>
      </w:r>
      <w:r>
        <w:rPr>
          <w:rFonts w:hint="eastAsia" w:ascii="宋体" w:hAnsi="宋体" w:eastAsia="宋体" w:cs="宋体"/>
          <w:b/>
          <w:bCs/>
          <w:kern w:val="0"/>
          <w:sz w:val="24"/>
          <w:szCs w:val="24"/>
          <w:lang w:val="en-US" w:eastAsia="zh-CN" w:bidi="ar-SA"/>
        </w:rPr>
        <w:t>条  争议解决办法</w:t>
      </w:r>
      <w:bookmarkEnd w:id="111"/>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甲乙双方因履行合同产生纠纷，应友好协商解决，如协商不成，按第（2）条方式解决。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（1）向泸州仲裁委仲裁裁决。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（2）向甲方所在地法院诉讼解决。</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采取诉讼方式解决争议的，违约方还应承担由此给相对方造成的一切经济损失，包括但不限于诉讼费、律师费、公告费、鉴定费等。</w:t>
      </w:r>
    </w:p>
    <w:p>
      <w:pPr>
        <w:pStyle w:val="2"/>
        <w:pageBreakBefore w:val="0"/>
        <w:widowControl w:val="0"/>
        <w:kinsoku/>
        <w:wordWrap/>
        <w:overflowPunct/>
        <w:topLinePunct w:val="0"/>
        <w:autoSpaceDE/>
        <w:autoSpaceDN/>
        <w:bidi w:val="0"/>
        <w:adjustRightInd/>
        <w:snapToGrid/>
        <w:spacing w:line="400" w:lineRule="exact"/>
        <w:ind w:right="213"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、通知和送达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1.任何一方向对方发出的通知或其他往来文件（以下简称“往来文件”），应按照本条款记载的另一方的联系方式，用邮政特快、电子邮件、手机短信或专人送达方式发出，并在下述条件下送达生效：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（1）以特快专递方式发出的，以收件人签收日为送达日；收件人未签收的，以寄出日后的第五个工作日视为送达；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（2）以手机短信或电子邮件方式发出的，以发出方收到手机或电子邮件发出确认回执时视为送达；</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（3）如对方不在的，由对方公司职工签收，若对方拒绝签收的，由两名送达工作人员签字见证，留置送达。                                                      </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同时采用上述几种方式的，以其中最快到达对方的为准。</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2.本条款项下的联系方式发生变更，变更方应及时书面通知另一方。另一方在收到有关变更前的联系方式所发出的往来文件视为有效。</w:t>
      </w:r>
    </w:p>
    <w:p>
      <w:pPr>
        <w:pStyle w:val="2"/>
        <w:pageBreakBefore w:val="0"/>
        <w:widowControl w:val="0"/>
        <w:kinsoku/>
        <w:wordWrap/>
        <w:overflowPunct/>
        <w:topLinePunct w:val="0"/>
        <w:autoSpaceDE/>
        <w:autoSpaceDN/>
        <w:bidi w:val="0"/>
        <w:adjustRightInd/>
        <w:snapToGrid/>
        <w:spacing w:line="400" w:lineRule="exact"/>
        <w:ind w:right="213" w:firstLine="480" w:firstLineChars="200"/>
        <w:jc w:val="both"/>
        <w:textAlignment w:val="auto"/>
        <w:rPr>
          <w:rFonts w:hint="eastAsia"/>
          <w:lang w:val="en-US" w:eastAsia="zh-CN"/>
        </w:rPr>
      </w:pPr>
      <w:r>
        <w:rPr>
          <w:rFonts w:hint="eastAsia" w:ascii="宋体" w:hAnsi="宋体" w:eastAsia="宋体" w:cs="宋体"/>
          <w:color w:val="auto"/>
          <w:sz w:val="24"/>
          <w:szCs w:val="24"/>
          <w:highlight w:val="none"/>
          <w:lang w:val="en-US" w:eastAsia="zh-CN"/>
        </w:rPr>
        <w:t>3.本合同所载地址也是司法机关司法文书送达地址。</w:t>
      </w:r>
    </w:p>
    <w:p>
      <w:pPr>
        <w:pageBreakBefore w:val="0"/>
        <w:kinsoku/>
        <w:wordWrap/>
        <w:overflowPunct/>
        <w:topLinePunct w:val="0"/>
        <w:autoSpaceDE/>
        <w:autoSpaceDN/>
        <w:bidi w:val="0"/>
        <w:adjustRightInd/>
        <w:snapToGrid/>
        <w:spacing w:line="480" w:lineRule="exact"/>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第十</w:t>
      </w:r>
      <w:r>
        <w:rPr>
          <w:rFonts w:hint="eastAsia" w:ascii="宋体" w:hAnsi="宋体" w:cs="宋体"/>
          <w:b/>
          <w:bCs/>
          <w:kern w:val="0"/>
          <w:sz w:val="24"/>
          <w:szCs w:val="24"/>
          <w:lang w:val="en-US" w:eastAsia="zh-CN" w:bidi="ar-SA"/>
        </w:rPr>
        <w:t>五</w:t>
      </w:r>
      <w:r>
        <w:rPr>
          <w:rFonts w:hint="eastAsia" w:ascii="宋体" w:hAnsi="宋体" w:eastAsia="宋体" w:cs="宋体"/>
          <w:b/>
          <w:bCs/>
          <w:kern w:val="0"/>
          <w:sz w:val="24"/>
          <w:szCs w:val="24"/>
          <w:lang w:val="en-US" w:eastAsia="zh-CN" w:bidi="ar-SA"/>
        </w:rPr>
        <w:t>条  其它事项</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r>
        <w:rPr>
          <w:rFonts w:hint="eastAsia" w:ascii="宋体" w:hAnsi="宋体" w:eastAsia="宋体" w:cs="宋体"/>
          <w:kern w:val="0"/>
          <w:sz w:val="24"/>
          <w:szCs w:val="24"/>
          <w:lang w:val="en-US" w:eastAsia="zh-CN" w:bidi="ar-SA"/>
        </w:rPr>
        <w:t>.本合同在双方法定代表人或授权委托人签</w:t>
      </w:r>
      <w:r>
        <w:rPr>
          <w:rFonts w:hint="eastAsia" w:ascii="宋体" w:hAnsi="宋体" w:cs="宋体"/>
          <w:kern w:val="0"/>
          <w:sz w:val="24"/>
          <w:szCs w:val="24"/>
          <w:lang w:val="en-US" w:eastAsia="zh-CN" w:bidi="ar-SA"/>
        </w:rPr>
        <w:t>章</w:t>
      </w:r>
      <w:r>
        <w:rPr>
          <w:rFonts w:hint="eastAsia" w:ascii="宋体" w:hAnsi="宋体" w:eastAsia="宋体" w:cs="宋体"/>
          <w:kern w:val="0"/>
          <w:sz w:val="24"/>
          <w:szCs w:val="24"/>
          <w:lang w:val="en-US" w:eastAsia="zh-CN" w:bidi="ar-SA"/>
        </w:rPr>
        <w:t>并</w:t>
      </w:r>
      <w:r>
        <w:rPr>
          <w:rFonts w:hint="eastAsia" w:ascii="宋体" w:hAnsi="宋体" w:cs="宋体"/>
          <w:kern w:val="0"/>
          <w:sz w:val="24"/>
          <w:szCs w:val="24"/>
          <w:lang w:val="en-US" w:eastAsia="zh-CN" w:bidi="ar-SA"/>
        </w:rPr>
        <w:t>加</w:t>
      </w:r>
      <w:r>
        <w:rPr>
          <w:rFonts w:hint="eastAsia" w:ascii="宋体" w:hAnsi="宋体" w:eastAsia="宋体" w:cs="宋体"/>
          <w:kern w:val="0"/>
          <w:sz w:val="24"/>
          <w:szCs w:val="24"/>
          <w:lang w:val="en-US" w:eastAsia="zh-CN" w:bidi="ar-SA"/>
        </w:rPr>
        <w:t>盖公章</w:t>
      </w:r>
      <w:r>
        <w:rPr>
          <w:rFonts w:hint="eastAsia" w:ascii="宋体" w:hAnsi="宋体" w:cs="宋体"/>
          <w:kern w:val="0"/>
          <w:sz w:val="24"/>
          <w:szCs w:val="24"/>
          <w:lang w:val="en-US" w:eastAsia="zh-CN" w:bidi="ar-SA"/>
        </w:rPr>
        <w:t>或合同专用章</w:t>
      </w:r>
      <w:r>
        <w:rPr>
          <w:rFonts w:hint="eastAsia" w:ascii="宋体" w:hAnsi="宋体" w:eastAsia="宋体" w:cs="宋体"/>
          <w:kern w:val="0"/>
          <w:sz w:val="24"/>
          <w:szCs w:val="24"/>
          <w:lang w:val="en-US" w:eastAsia="zh-CN" w:bidi="ar-SA"/>
        </w:rPr>
        <w:t>之日起生效。</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.本合同一式</w:t>
      </w:r>
      <w:r>
        <w:rPr>
          <w:rFonts w:hint="eastAsia" w:ascii="宋体" w:hAnsi="宋体" w:eastAsia="宋体" w:cs="宋体"/>
          <w:kern w:val="0"/>
          <w:sz w:val="24"/>
          <w:szCs w:val="24"/>
          <w:u w:val="single"/>
          <w:lang w:val="en-US" w:eastAsia="zh-CN" w:bidi="ar-SA"/>
        </w:rPr>
        <w:t>肆</w:t>
      </w:r>
      <w:r>
        <w:rPr>
          <w:rFonts w:hint="eastAsia" w:ascii="宋体" w:hAnsi="宋体" w:eastAsia="宋体" w:cs="宋体"/>
          <w:kern w:val="0"/>
          <w:sz w:val="24"/>
          <w:szCs w:val="24"/>
          <w:lang w:val="en-US" w:eastAsia="zh-CN" w:bidi="ar-SA"/>
        </w:rPr>
        <w:t>份，甲方执</w:t>
      </w:r>
      <w:r>
        <w:rPr>
          <w:rFonts w:hint="eastAsia" w:ascii="宋体" w:hAnsi="宋体" w:eastAsia="宋体" w:cs="宋体"/>
          <w:kern w:val="0"/>
          <w:sz w:val="24"/>
          <w:szCs w:val="24"/>
          <w:u w:val="single"/>
          <w:lang w:val="en-US" w:eastAsia="zh-CN" w:bidi="ar-SA"/>
        </w:rPr>
        <w:t>叁</w:t>
      </w:r>
      <w:r>
        <w:rPr>
          <w:rFonts w:hint="eastAsia" w:ascii="宋体" w:hAnsi="宋体" w:eastAsia="宋体" w:cs="宋体"/>
          <w:kern w:val="0"/>
          <w:sz w:val="24"/>
          <w:szCs w:val="24"/>
          <w:lang w:val="en-US" w:eastAsia="zh-CN" w:bidi="ar-SA"/>
        </w:rPr>
        <w:t>份，乙方执</w:t>
      </w:r>
      <w:r>
        <w:rPr>
          <w:rFonts w:hint="eastAsia" w:ascii="宋体" w:hAnsi="宋体" w:eastAsia="宋体" w:cs="宋体"/>
          <w:kern w:val="0"/>
          <w:sz w:val="24"/>
          <w:szCs w:val="24"/>
          <w:u w:val="single"/>
          <w:lang w:val="en-US" w:eastAsia="zh-CN" w:bidi="ar-SA"/>
        </w:rPr>
        <w:t>壹</w:t>
      </w:r>
      <w:r>
        <w:rPr>
          <w:rFonts w:hint="eastAsia" w:ascii="宋体" w:hAnsi="宋体" w:eastAsia="宋体" w:cs="宋体"/>
          <w:kern w:val="0"/>
          <w:sz w:val="24"/>
          <w:szCs w:val="24"/>
          <w:lang w:val="en-US" w:eastAsia="zh-CN" w:bidi="ar-SA"/>
        </w:rPr>
        <w:t>份，具有同等效力。</w:t>
      </w:r>
    </w:p>
    <w:p>
      <w:pPr>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3</w:t>
      </w:r>
      <w:r>
        <w:rPr>
          <w:rFonts w:hint="eastAsia" w:ascii="宋体" w:hAnsi="宋体" w:eastAsia="宋体" w:cs="宋体"/>
          <w:kern w:val="0"/>
          <w:sz w:val="24"/>
          <w:szCs w:val="24"/>
          <w:lang w:val="en-US" w:eastAsia="zh-CN" w:bidi="ar-SA"/>
        </w:rPr>
        <w:t>.对于本合同的未尽事宜，需进行修改、补充或完善的，甲乙双方必须就所修改的内容签订书面的合同补充协议，作为本合同的补充，补充协议与本合同具有同等法律效力。</w:t>
      </w:r>
    </w:p>
    <w:p>
      <w:pPr>
        <w:spacing w:line="360" w:lineRule="auto"/>
        <w:ind w:firstLine="480" w:firstLineChars="200"/>
        <w:jc w:val="center"/>
        <w:rPr>
          <w:rFonts w:hint="eastAsia" w:ascii="宋体" w:hAnsi="宋体" w:eastAsia="宋体" w:cs="宋体"/>
          <w:kern w:val="0"/>
          <w:sz w:val="24"/>
          <w:szCs w:val="24"/>
          <w:lang w:val="en-US" w:eastAsia="zh-CN" w:bidi="ar-SA"/>
        </w:rPr>
      </w:pPr>
    </w:p>
    <w:p>
      <w:pPr>
        <w:pStyle w:val="2"/>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tbl>
      <w:tblPr>
        <w:tblStyle w:val="22"/>
        <w:tblW w:w="0" w:type="auto"/>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9"/>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pPr>
              <w:rPr>
                <w:rFonts w:hint="eastAsia" w:ascii="宋体" w:hAnsi="宋体" w:eastAsia="宋体" w:cs="宋体"/>
                <w:sz w:val="24"/>
                <w:szCs w:val="24"/>
                <w:vertAlign w:val="baseline"/>
              </w:rPr>
            </w:pPr>
            <w:r>
              <w:rPr>
                <w:rFonts w:hint="eastAsia" w:ascii="宋体" w:hAnsi="宋体" w:eastAsia="宋体" w:cs="宋体"/>
                <w:sz w:val="24"/>
                <w:szCs w:val="24"/>
              </w:rPr>
              <w:t>甲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c>
          <w:tcPr>
            <w:tcW w:w="426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乙 方</w:t>
            </w:r>
            <w:r>
              <w:rPr>
                <w:rFonts w:hint="eastAsia" w:ascii="宋体" w:hAnsi="宋体" w:eastAsia="宋体" w:cs="宋体"/>
                <w:sz w:val="24"/>
                <w:szCs w:val="24"/>
                <w:lang w:eastAsia="zh-CN"/>
              </w:rPr>
              <w:t>：</w:t>
            </w:r>
            <w:r>
              <w:rPr>
                <w:rFonts w:hint="eastAsia" w:ascii="宋体" w:hAnsi="宋体" w:eastAsia="宋体" w:cs="宋体"/>
                <w:sz w:val="24"/>
                <w:szCs w:val="24"/>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c>
          <w:tcPr>
            <w:tcW w:w="426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w:t>
            </w:r>
          </w:p>
          <w:p>
            <w:pPr>
              <w:rPr>
                <w:rFonts w:hint="eastAsia" w:ascii="宋体" w:hAnsi="宋体" w:eastAsia="宋体" w:cs="宋体"/>
                <w:sz w:val="24"/>
                <w:szCs w:val="24"/>
                <w:vertAlign w:val="baseline"/>
              </w:rPr>
            </w:pPr>
            <w:r>
              <w:rPr>
                <w:rFonts w:hint="eastAsia" w:ascii="宋体" w:hAnsi="宋体" w:eastAsia="宋体" w:cs="宋体"/>
                <w:sz w:val="24"/>
                <w:szCs w:val="24"/>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3992"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开户银行：</w:t>
            </w:r>
          </w:p>
        </w:tc>
        <w:tc>
          <w:tcPr>
            <w:tcW w:w="4264"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992"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c>
          <w:tcPr>
            <w:tcW w:w="4264" w:type="dxa"/>
            <w:tcBorders>
              <w:tl2br w:val="nil"/>
              <w:tr2bl w:val="nil"/>
            </w:tcBorders>
            <w:noWrap w:val="0"/>
            <w:vAlign w:val="top"/>
          </w:tcPr>
          <w:p>
            <w:pPr>
              <w:rPr>
                <w:rFonts w:hint="eastAsia" w:ascii="宋体" w:hAnsi="宋体" w:eastAsia="宋体" w:cs="宋体"/>
                <w:sz w:val="24"/>
                <w:szCs w:val="24"/>
              </w:rPr>
            </w:pPr>
            <w:r>
              <w:rPr>
                <w:rFonts w:hint="eastAsia" w:ascii="宋体" w:hAnsi="宋体" w:eastAsia="宋体" w:cs="宋体"/>
                <w:sz w:val="24"/>
                <w:szCs w:val="24"/>
                <w:highlight w:val="none"/>
              </w:rPr>
              <w:t xml:space="preserve">账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3992" w:type="dxa"/>
            <w:tcBorders>
              <w:tl2br w:val="nil"/>
              <w:tr2bl w:val="nil"/>
            </w:tcBorders>
            <w:noWrap w:val="0"/>
            <w:vAlign w:val="top"/>
          </w:tcPr>
          <w:p>
            <w:pP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 xml:space="preserve">签订日期：  年  月  日 　     </w:t>
            </w:r>
          </w:p>
        </w:tc>
        <w:tc>
          <w:tcPr>
            <w:tcW w:w="4264" w:type="dxa"/>
            <w:tcBorders>
              <w:tl2br w:val="nil"/>
              <w:tr2bl w:val="nil"/>
            </w:tcBorders>
            <w:noWrap w:val="0"/>
            <w:vAlign w:val="top"/>
          </w:tcPr>
          <w:p>
            <w:pPr>
              <w:rPr>
                <w:rFonts w:hint="eastAsia" w:ascii="宋体" w:hAnsi="宋体" w:eastAsia="宋体" w:cs="宋体"/>
                <w:sz w:val="24"/>
                <w:szCs w:val="24"/>
                <w:vertAlign w:val="baseline"/>
              </w:rPr>
            </w:pPr>
            <w:r>
              <w:rPr>
                <w:rFonts w:hint="eastAsia" w:ascii="宋体" w:hAnsi="宋体" w:eastAsia="宋体" w:cs="宋体"/>
                <w:sz w:val="24"/>
                <w:szCs w:val="24"/>
              </w:rPr>
              <w:t xml:space="preserve">签订日期：  年  月  日 　     </w:t>
            </w:r>
          </w:p>
        </w:tc>
      </w:tr>
    </w:tbl>
    <w:p>
      <w:pPr>
        <w:rPr>
          <w:rFonts w:hint="eastAsia" w:eastAsia="宋体"/>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F6B53A4-3852-4FF5-8F59-18BEB9AEAAD7}"/>
  </w:font>
  <w:font w:name="黑体">
    <w:panose1 w:val="02010609060101010101"/>
    <w:charset w:val="86"/>
    <w:family w:val="auto"/>
    <w:pitch w:val="default"/>
    <w:sig w:usb0="800002BF" w:usb1="38CF7CFA" w:usb2="00000016" w:usb3="00000000" w:csb0="00040001" w:csb1="00000000"/>
    <w:embedRegular r:id="rId2" w:fontKey="{EDFF0270-89D6-4983-8BF4-20011554A0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方正仿宋简体">
    <w:panose1 w:val="02000000000000000000"/>
    <w:charset w:val="86"/>
    <w:family w:val="auto"/>
    <w:pitch w:val="default"/>
    <w:sig w:usb0="00000001" w:usb1="080E0000" w:usb2="00000000" w:usb3="00000000" w:csb0="00040000" w:csb1="00000000"/>
    <w:embedRegular r:id="rId3" w:fontKey="{C2869F05-5F62-4BA2-97CB-F5A76B749F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Pr>
    </w:pPr>
    <w:r>
      <w:fldChar w:fldCharType="begin"/>
    </w:r>
    <w:r>
      <w:rPr>
        <w:rStyle w:val="24"/>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13969"/>
    <w:multiLevelType w:val="singleLevel"/>
    <w:tmpl w:val="9D113969"/>
    <w:lvl w:ilvl="0" w:tentative="0">
      <w:start w:val="2"/>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AF939172"/>
    <w:multiLevelType w:val="singleLevel"/>
    <w:tmpl w:val="AF939172"/>
    <w:lvl w:ilvl="0" w:tentative="0">
      <w:start w:val="1"/>
      <w:numFmt w:val="chineseCounting"/>
      <w:suff w:val="space"/>
      <w:lvlText w:val="第%1条"/>
      <w:lvlJc w:val="left"/>
      <w:rPr>
        <w:rFonts w:hint="eastAsia"/>
      </w:rPr>
    </w:lvl>
  </w:abstractNum>
  <w:abstractNum w:abstractNumId="3">
    <w:nsid w:val="CF91590D"/>
    <w:multiLevelType w:val="singleLevel"/>
    <w:tmpl w:val="CF91590D"/>
    <w:lvl w:ilvl="0" w:tentative="0">
      <w:start w:val="2"/>
      <w:numFmt w:val="chineseCounting"/>
      <w:suff w:val="space"/>
      <w:lvlText w:val="第%1条"/>
      <w:lvlJc w:val="left"/>
      <w:rPr>
        <w:rFonts w:hint="eastAsia"/>
      </w:r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C40ABE"/>
    <w:rsid w:val="03FF60FC"/>
    <w:rsid w:val="041B7553"/>
    <w:rsid w:val="04730898"/>
    <w:rsid w:val="0695059B"/>
    <w:rsid w:val="07B73987"/>
    <w:rsid w:val="08EA75D7"/>
    <w:rsid w:val="091F0582"/>
    <w:rsid w:val="09736C45"/>
    <w:rsid w:val="0A261F09"/>
    <w:rsid w:val="0A2836FF"/>
    <w:rsid w:val="0CE73421"/>
    <w:rsid w:val="0DD00782"/>
    <w:rsid w:val="0E2B0CF5"/>
    <w:rsid w:val="0E7147C3"/>
    <w:rsid w:val="0FE635D7"/>
    <w:rsid w:val="0FF26B15"/>
    <w:rsid w:val="106A7BFD"/>
    <w:rsid w:val="128A78B7"/>
    <w:rsid w:val="12BA6738"/>
    <w:rsid w:val="13453400"/>
    <w:rsid w:val="13D6505B"/>
    <w:rsid w:val="16226D6D"/>
    <w:rsid w:val="169F22A5"/>
    <w:rsid w:val="177C0207"/>
    <w:rsid w:val="19DC42E6"/>
    <w:rsid w:val="1A840CB2"/>
    <w:rsid w:val="1B807F1F"/>
    <w:rsid w:val="1C250273"/>
    <w:rsid w:val="1C8925AF"/>
    <w:rsid w:val="1D2D7EB7"/>
    <w:rsid w:val="1D55206F"/>
    <w:rsid w:val="1EA96F39"/>
    <w:rsid w:val="1F064996"/>
    <w:rsid w:val="20136BAE"/>
    <w:rsid w:val="20CA48D9"/>
    <w:rsid w:val="225A6FB5"/>
    <w:rsid w:val="22705D9B"/>
    <w:rsid w:val="24A24B56"/>
    <w:rsid w:val="24B2466D"/>
    <w:rsid w:val="2648711A"/>
    <w:rsid w:val="278E13C2"/>
    <w:rsid w:val="27BC3299"/>
    <w:rsid w:val="29F86FC6"/>
    <w:rsid w:val="2A8C3625"/>
    <w:rsid w:val="2AB87296"/>
    <w:rsid w:val="2B0771A6"/>
    <w:rsid w:val="2C0254A2"/>
    <w:rsid w:val="2D80355B"/>
    <w:rsid w:val="2DC07DFB"/>
    <w:rsid w:val="2E086516"/>
    <w:rsid w:val="301F1190"/>
    <w:rsid w:val="30F962A3"/>
    <w:rsid w:val="37F334D9"/>
    <w:rsid w:val="3ACF3768"/>
    <w:rsid w:val="3B5418DC"/>
    <w:rsid w:val="3C073DA3"/>
    <w:rsid w:val="3DA80CEA"/>
    <w:rsid w:val="3DF8538F"/>
    <w:rsid w:val="3E9F580B"/>
    <w:rsid w:val="3EA019BA"/>
    <w:rsid w:val="3EB76FF8"/>
    <w:rsid w:val="3ECB3DA6"/>
    <w:rsid w:val="3EFF77AB"/>
    <w:rsid w:val="3FFD4EDF"/>
    <w:rsid w:val="40FB0687"/>
    <w:rsid w:val="414D1C8C"/>
    <w:rsid w:val="431B31A5"/>
    <w:rsid w:val="44801B9E"/>
    <w:rsid w:val="45FB4456"/>
    <w:rsid w:val="460B1E98"/>
    <w:rsid w:val="484858D5"/>
    <w:rsid w:val="48F367B7"/>
    <w:rsid w:val="49F02469"/>
    <w:rsid w:val="4C4D2043"/>
    <w:rsid w:val="4C716A38"/>
    <w:rsid w:val="4C770EE0"/>
    <w:rsid w:val="4CE30FB8"/>
    <w:rsid w:val="4DF0642D"/>
    <w:rsid w:val="4E4B6209"/>
    <w:rsid w:val="508969F8"/>
    <w:rsid w:val="52AF2D02"/>
    <w:rsid w:val="53C658BC"/>
    <w:rsid w:val="55CF71F1"/>
    <w:rsid w:val="59C13496"/>
    <w:rsid w:val="5A7F67C4"/>
    <w:rsid w:val="5C317F92"/>
    <w:rsid w:val="5CCF509C"/>
    <w:rsid w:val="60E94998"/>
    <w:rsid w:val="617E1C77"/>
    <w:rsid w:val="61E52B68"/>
    <w:rsid w:val="63035AB9"/>
    <w:rsid w:val="636D52A1"/>
    <w:rsid w:val="63717038"/>
    <w:rsid w:val="63C90AB0"/>
    <w:rsid w:val="63CD5D94"/>
    <w:rsid w:val="64552344"/>
    <w:rsid w:val="645B798F"/>
    <w:rsid w:val="64E97686"/>
    <w:rsid w:val="64F97F24"/>
    <w:rsid w:val="663E5786"/>
    <w:rsid w:val="66FD5AC7"/>
    <w:rsid w:val="67035F76"/>
    <w:rsid w:val="683827EB"/>
    <w:rsid w:val="68EF39A0"/>
    <w:rsid w:val="68F6059A"/>
    <w:rsid w:val="69B37FF0"/>
    <w:rsid w:val="6BFE2437"/>
    <w:rsid w:val="6D640887"/>
    <w:rsid w:val="6E041063"/>
    <w:rsid w:val="6E9249E5"/>
    <w:rsid w:val="71813D5A"/>
    <w:rsid w:val="71A73CE2"/>
    <w:rsid w:val="71A8567D"/>
    <w:rsid w:val="72E4193A"/>
    <w:rsid w:val="74904385"/>
    <w:rsid w:val="77B82128"/>
    <w:rsid w:val="78650950"/>
    <w:rsid w:val="79AA2DBC"/>
    <w:rsid w:val="7A9F566D"/>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Normal Indent"/>
    <w:basedOn w:val="1"/>
    <w:unhideWhenUsed/>
    <w:qFormat/>
    <w:uiPriority w:val="99"/>
    <w:pPr>
      <w:ind w:firstLine="420" w:firstLineChars="200"/>
    </w:pPr>
  </w:style>
  <w:style w:type="paragraph" w:styleId="9">
    <w:name w:val="annotation text"/>
    <w:basedOn w:val="1"/>
    <w:unhideWhenUsed/>
    <w:qFormat/>
    <w:uiPriority w:val="99"/>
    <w:pPr>
      <w:jc w:val="left"/>
    </w:pPr>
  </w:style>
  <w:style w:type="paragraph" w:styleId="10">
    <w:name w:val="Body Text Indent"/>
    <w:basedOn w:val="1"/>
    <w:qFormat/>
    <w:uiPriority w:val="0"/>
    <w:pPr>
      <w:ind w:firstLine="630"/>
    </w:pPr>
    <w:rPr>
      <w:sz w:val="32"/>
      <w:szCs w:val="20"/>
    </w:rPr>
  </w:style>
  <w:style w:type="paragraph" w:styleId="11">
    <w:name w:val="toc 3"/>
    <w:basedOn w:val="1"/>
    <w:next w:val="1"/>
    <w:qFormat/>
    <w:uiPriority w:val="0"/>
    <w:pPr>
      <w:ind w:left="840" w:leftChars="400"/>
    </w:p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footer"/>
    <w:basedOn w:val="1"/>
    <w:next w:val="14"/>
    <w:qFormat/>
    <w:uiPriority w:val="99"/>
    <w:pPr>
      <w:tabs>
        <w:tab w:val="center" w:pos="4153"/>
        <w:tab w:val="right" w:pos="8306"/>
      </w:tabs>
      <w:snapToGrid w:val="0"/>
      <w:jc w:val="left"/>
    </w:pPr>
    <w:rPr>
      <w:sz w:val="18"/>
      <w:szCs w:val="20"/>
    </w:rPr>
  </w:style>
  <w:style w:type="paragraph" w:styleId="14">
    <w:name w:val="List Paragraph"/>
    <w:basedOn w:val="1"/>
    <w:qFormat/>
    <w:uiPriority w:val="1"/>
    <w:pPr>
      <w:ind w:firstLine="420" w:firstLineChars="200"/>
    </w:pPr>
    <w:rPr>
      <w:rFonts w:ascii="Calibri" w:hAnsi="Calibri"/>
      <w:szCs w:val="22"/>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2"/>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7"/>
    <w:qFormat/>
    <w:uiPriority w:val="9"/>
    <w:rPr>
      <w:b/>
      <w:bCs/>
      <w:sz w:val="32"/>
      <w:szCs w:val="32"/>
    </w:rPr>
  </w:style>
  <w:style w:type="character" w:customStyle="1" w:styleId="31">
    <w:name w:val="font31"/>
    <w:basedOn w:val="23"/>
    <w:qFormat/>
    <w:uiPriority w:val="0"/>
    <w:rPr>
      <w:rFonts w:hint="eastAsia" w:ascii="宋体" w:hAnsi="宋体" w:eastAsia="宋体" w:cs="宋体"/>
      <w:color w:val="000000"/>
      <w:sz w:val="22"/>
      <w:szCs w:val="22"/>
      <w:u w:val="none"/>
    </w:rPr>
  </w:style>
  <w:style w:type="character" w:customStyle="1" w:styleId="32">
    <w:name w:val="font61"/>
    <w:basedOn w:val="23"/>
    <w:qFormat/>
    <w:uiPriority w:val="0"/>
    <w:rPr>
      <w:rFonts w:ascii="微软雅黑" w:hAnsi="微软雅黑" w:eastAsia="微软雅黑" w:cs="微软雅黑"/>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2"/>
      <w:szCs w:val="22"/>
      <w:u w:val="none"/>
    </w:rPr>
  </w:style>
  <w:style w:type="character" w:customStyle="1" w:styleId="34">
    <w:name w:val="font71"/>
    <w:basedOn w:val="23"/>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3"/>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21230</Words>
  <Characters>22796</Characters>
  <Lines>0</Lines>
  <Paragraphs>0</Paragraphs>
  <TotalTime>237</TotalTime>
  <ScaleCrop>false</ScaleCrop>
  <LinksUpToDate>false</LinksUpToDate>
  <CharactersWithSpaces>23542</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咖啡</cp:lastModifiedBy>
  <cp:lastPrinted>2025-05-22T09:18:00Z</cp:lastPrinted>
  <dcterms:modified xsi:type="dcterms:W3CDTF">2025-09-24T07:19:15Z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48EB89AFC1814262A514D7770BBA149E_13</vt:lpwstr>
  </property>
  <property fmtid="{D5CDD505-2E9C-101B-9397-08002B2CF9AE}" pid="4" name="KSOTemplateDocerSaveRecord">
    <vt:lpwstr>eyJoZGlkIjoiOGI5ZjRiOWE4ZmYzZDhmY2RhY2Y0ZDU5NGIyMTY1NmYiLCJ1c2VySWQiOiIxMTcyOTM5MTgxIn0=</vt:lpwstr>
  </property>
</Properties>
</file>