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E706">
      <w:pPr>
        <w:spacing w:line="360" w:lineRule="auto"/>
        <w:jc w:val="center"/>
        <w:rPr>
          <w:rFonts w:hint="eastAsia"/>
          <w:b/>
          <w:color w:val="auto"/>
          <w:sz w:val="32"/>
          <w:szCs w:val="32"/>
          <w:highlight w:val="none"/>
        </w:rPr>
      </w:pPr>
    </w:p>
    <w:p w14:paraId="589157E9">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0" w:edGrp="everyone"/>
      <w:r>
        <w:rPr>
          <w:rFonts w:hint="eastAsia" w:ascii="Times New Roman" w:hAnsi="Times New Roman" w:eastAsia="宋体" w:cs="Times New Roman"/>
          <w:b/>
          <w:color w:val="auto"/>
          <w:sz w:val="32"/>
          <w:szCs w:val="32"/>
          <w:highlight w:val="none"/>
          <w:lang w:val="en-US" w:eastAsia="zh-CN"/>
        </w:rPr>
        <w:t>Y</w:t>
      </w:r>
      <w:r>
        <w:rPr>
          <w:rFonts w:hint="eastAsia" w:ascii="Times New Roman" w:hAnsi="Times New Roman" w:eastAsia="宋体" w:cs="Times New Roman"/>
          <w:b/>
          <w:color w:val="auto"/>
          <w:sz w:val="32"/>
          <w:szCs w:val="32"/>
          <w:highlight w:val="none"/>
        </w:rPr>
        <w:t>YCG[202</w:t>
      </w:r>
      <w:r>
        <w:rPr>
          <w:rFonts w:hint="eastAsia" w:cs="Times New Roman"/>
          <w:b/>
          <w:color w:val="auto"/>
          <w:sz w:val="32"/>
          <w:szCs w:val="32"/>
          <w:highlight w:val="none"/>
          <w:lang w:val="en-US" w:eastAsia="zh-CN"/>
        </w:rPr>
        <w:t>5</w:t>
      </w:r>
      <w:r>
        <w:rPr>
          <w:rFonts w:hint="eastAsia" w:ascii="Times New Roman" w:hAnsi="Times New Roman" w:eastAsia="宋体" w:cs="Times New Roman"/>
          <w:b/>
          <w:color w:val="auto"/>
          <w:sz w:val="32"/>
          <w:szCs w:val="32"/>
          <w:highlight w:val="none"/>
        </w:rPr>
        <w:t>]</w:t>
      </w:r>
      <w:r>
        <w:rPr>
          <w:rFonts w:hint="eastAsia" w:cs="Times New Roman"/>
          <w:b/>
          <w:color w:val="auto"/>
          <w:sz w:val="32"/>
          <w:szCs w:val="32"/>
          <w:highlight w:val="none"/>
          <w:lang w:val="en-US" w:eastAsia="zh-CN"/>
        </w:rPr>
        <w:t>027</w:t>
      </w:r>
      <w:r>
        <w:rPr>
          <w:rFonts w:hint="eastAsia"/>
          <w:b/>
          <w:color w:val="auto"/>
          <w:sz w:val="32"/>
          <w:szCs w:val="32"/>
          <w:highlight w:val="none"/>
        </w:rPr>
        <w:t>号</w:t>
      </w:r>
      <w:permEnd w:id="0"/>
    </w:p>
    <w:p w14:paraId="1B123622">
      <w:pPr>
        <w:rPr>
          <w:rFonts w:hint="eastAsia" w:ascii="宋体"/>
          <w:b/>
          <w:color w:val="auto"/>
          <w:sz w:val="36"/>
          <w:szCs w:val="36"/>
          <w:highlight w:val="none"/>
        </w:rPr>
      </w:pPr>
    </w:p>
    <w:p w14:paraId="414E1051">
      <w:pPr>
        <w:jc w:val="center"/>
        <w:rPr>
          <w:rFonts w:hint="eastAsia" w:ascii="宋体"/>
          <w:b/>
          <w:color w:val="auto"/>
          <w:sz w:val="52"/>
          <w:szCs w:val="52"/>
          <w:highlight w:val="none"/>
        </w:rPr>
      </w:pPr>
    </w:p>
    <w:p w14:paraId="4E67E945">
      <w:pPr>
        <w:spacing w:line="360" w:lineRule="auto"/>
        <w:jc w:val="center"/>
        <w:rPr>
          <w:rFonts w:hint="eastAsia" w:ascii="宋体"/>
          <w:b/>
          <w:color w:val="auto"/>
          <w:sz w:val="52"/>
          <w:szCs w:val="52"/>
          <w:highlight w:val="none"/>
        </w:rPr>
      </w:pPr>
      <w:permStart w:id="1" w:edGrp="everyone"/>
      <w:r>
        <w:rPr>
          <w:rFonts w:hint="eastAsia" w:ascii="宋体" w:hAnsi="Times New Roman" w:eastAsia="宋体" w:cs="Times New Roman"/>
          <w:b/>
          <w:color w:val="auto"/>
          <w:sz w:val="52"/>
          <w:szCs w:val="52"/>
          <w:highlight w:val="none"/>
          <w:lang w:val="en-US" w:eastAsia="zh-CN"/>
        </w:rPr>
        <w:t>“</w:t>
      </w:r>
      <w:r>
        <w:rPr>
          <w:rFonts w:hint="eastAsia" w:ascii="宋体" w:cs="Times New Roman"/>
          <w:b/>
          <w:color w:val="auto"/>
          <w:sz w:val="52"/>
          <w:szCs w:val="52"/>
          <w:highlight w:val="none"/>
          <w:lang w:val="en-US" w:eastAsia="zh-CN"/>
        </w:rPr>
        <w:t>厂区摄像头等相关配件</w:t>
      </w:r>
      <w:r>
        <w:rPr>
          <w:rFonts w:hint="eastAsia" w:ascii="宋体" w:hAnsi="Times New Roman" w:eastAsia="宋体" w:cs="Times New Roman"/>
          <w:b/>
          <w:color w:val="auto"/>
          <w:sz w:val="52"/>
          <w:szCs w:val="52"/>
          <w:highlight w:val="none"/>
          <w:lang w:val="en-US" w:eastAsia="zh-CN"/>
        </w:rPr>
        <w:t>”</w:t>
      </w:r>
      <w:r>
        <w:rPr>
          <w:rFonts w:hint="eastAsia" w:ascii="宋体"/>
          <w:b/>
          <w:color w:val="auto"/>
          <w:sz w:val="52"/>
          <w:szCs w:val="52"/>
          <w:highlight w:val="none"/>
        </w:rPr>
        <w:t>采购项目</w:t>
      </w:r>
    </w:p>
    <w:permEnd w:id="1"/>
    <w:p w14:paraId="11EF65E8">
      <w:pPr>
        <w:pStyle w:val="2"/>
        <w:spacing w:line="360" w:lineRule="auto"/>
        <w:rPr>
          <w:rFonts w:hint="eastAsia"/>
          <w:color w:val="auto"/>
          <w:highlight w:val="none"/>
        </w:rPr>
      </w:pPr>
    </w:p>
    <w:p w14:paraId="0315FB91">
      <w:pPr>
        <w:spacing w:line="360" w:lineRule="auto"/>
        <w:rPr>
          <w:rFonts w:hint="eastAsia"/>
          <w:color w:val="auto"/>
          <w:highlight w:val="none"/>
        </w:rPr>
      </w:pPr>
    </w:p>
    <w:p w14:paraId="34B83398">
      <w:pPr>
        <w:tabs>
          <w:tab w:val="center" w:pos="4212"/>
          <w:tab w:val="left" w:pos="5891"/>
        </w:tabs>
        <w:spacing w:line="276" w:lineRule="auto"/>
        <w:jc w:val="center"/>
        <w:rPr>
          <w:rFonts w:hint="eastAsia" w:ascii="宋体" w:eastAsia="宋体"/>
          <w:b/>
          <w:color w:val="auto"/>
          <w:sz w:val="84"/>
          <w:szCs w:val="84"/>
          <w:highlight w:val="none"/>
          <w:lang w:eastAsia="zh-CN"/>
        </w:rPr>
      </w:pPr>
      <w:r>
        <w:rPr>
          <w:rFonts w:hint="eastAsia" w:ascii="宋体"/>
          <w:b/>
          <w:color w:val="auto"/>
          <w:sz w:val="84"/>
          <w:szCs w:val="84"/>
          <w:highlight w:val="none"/>
        </w:rPr>
        <w:t>询</w:t>
      </w:r>
    </w:p>
    <w:p w14:paraId="6D3CBD2E">
      <w:pPr>
        <w:spacing w:line="276" w:lineRule="auto"/>
        <w:jc w:val="center"/>
        <w:rPr>
          <w:rFonts w:hint="eastAsia" w:eastAsia="宋体"/>
          <w:b/>
          <w:color w:val="auto"/>
          <w:sz w:val="84"/>
          <w:szCs w:val="84"/>
          <w:highlight w:val="none"/>
          <w:lang w:eastAsia="zh-CN"/>
        </w:rPr>
      </w:pPr>
      <w:r>
        <w:rPr>
          <w:rFonts w:hint="eastAsia"/>
          <w:b/>
          <w:color w:val="auto"/>
          <w:sz w:val="84"/>
          <w:szCs w:val="84"/>
          <w:highlight w:val="none"/>
          <w:lang w:eastAsia="zh-CN"/>
        </w:rPr>
        <w:t>比</w:t>
      </w:r>
    </w:p>
    <w:p w14:paraId="5ED62FD8">
      <w:pPr>
        <w:spacing w:line="276" w:lineRule="auto"/>
        <w:jc w:val="center"/>
        <w:rPr>
          <w:rFonts w:hint="eastAsia"/>
          <w:b/>
          <w:color w:val="auto"/>
          <w:sz w:val="84"/>
          <w:szCs w:val="84"/>
          <w:highlight w:val="none"/>
        </w:rPr>
      </w:pPr>
      <w:r>
        <w:rPr>
          <w:rFonts w:hint="eastAsia"/>
          <w:b/>
          <w:color w:val="auto"/>
          <w:sz w:val="84"/>
          <w:szCs w:val="84"/>
          <w:highlight w:val="none"/>
        </w:rPr>
        <w:t>文</w:t>
      </w:r>
    </w:p>
    <w:p w14:paraId="5A374042">
      <w:pPr>
        <w:spacing w:line="276" w:lineRule="auto"/>
        <w:jc w:val="center"/>
        <w:rPr>
          <w:rFonts w:hint="eastAsia"/>
          <w:b/>
          <w:color w:val="auto"/>
          <w:sz w:val="84"/>
          <w:szCs w:val="84"/>
          <w:highlight w:val="none"/>
        </w:rPr>
      </w:pPr>
      <w:r>
        <w:rPr>
          <w:rFonts w:hint="eastAsia"/>
          <w:b/>
          <w:color w:val="auto"/>
          <w:sz w:val="84"/>
          <w:szCs w:val="84"/>
          <w:highlight w:val="none"/>
        </w:rPr>
        <w:t>件</w:t>
      </w:r>
    </w:p>
    <w:p w14:paraId="7E02302A">
      <w:pPr>
        <w:spacing w:line="360" w:lineRule="auto"/>
        <w:jc w:val="center"/>
        <w:rPr>
          <w:rFonts w:hint="eastAsia"/>
          <w:b/>
          <w:color w:val="auto"/>
          <w:sz w:val="28"/>
          <w:szCs w:val="28"/>
          <w:highlight w:val="none"/>
        </w:rPr>
      </w:pPr>
    </w:p>
    <w:p w14:paraId="06029402">
      <w:pPr>
        <w:spacing w:line="360" w:lineRule="auto"/>
        <w:jc w:val="center"/>
        <w:rPr>
          <w:rFonts w:hint="eastAsia"/>
          <w:b/>
          <w:color w:val="auto"/>
          <w:sz w:val="28"/>
          <w:szCs w:val="28"/>
          <w:highlight w:val="none"/>
        </w:rPr>
      </w:pPr>
    </w:p>
    <w:p w14:paraId="01A19886">
      <w:pPr>
        <w:spacing w:line="360" w:lineRule="auto"/>
        <w:jc w:val="center"/>
        <w:rPr>
          <w:b/>
          <w:color w:val="auto"/>
          <w:sz w:val="32"/>
          <w:szCs w:val="32"/>
          <w:highlight w:val="none"/>
        </w:rPr>
      </w:pPr>
      <w:r>
        <w:rPr>
          <w:b/>
          <w:color w:val="auto"/>
          <w:sz w:val="32"/>
          <w:szCs w:val="32"/>
          <w:highlight w:val="none"/>
        </w:rPr>
        <w:t>中国·四川（泸州）</w:t>
      </w:r>
    </w:p>
    <w:p w14:paraId="6B5E34B6">
      <w:pPr>
        <w:spacing w:line="360" w:lineRule="auto"/>
        <w:jc w:val="center"/>
        <w:rPr>
          <w:b/>
          <w:color w:val="auto"/>
          <w:sz w:val="32"/>
          <w:szCs w:val="32"/>
          <w:highlight w:val="none"/>
        </w:rPr>
      </w:pPr>
      <w:permStart w:id="2" w:edGrp="everyone"/>
      <w:r>
        <w:rPr>
          <w:rFonts w:hint="eastAsia"/>
          <w:b/>
          <w:color w:val="auto"/>
          <w:sz w:val="32"/>
          <w:szCs w:val="32"/>
          <w:highlight w:val="none"/>
          <w:lang w:eastAsia="zh-CN"/>
        </w:rPr>
        <w:t>泸州</w:t>
      </w:r>
      <w:r>
        <w:rPr>
          <w:rFonts w:hint="eastAsia"/>
          <w:b/>
          <w:color w:val="auto"/>
          <w:sz w:val="32"/>
          <w:szCs w:val="32"/>
          <w:highlight w:val="none"/>
          <w:lang w:val="en-US" w:eastAsia="zh-CN"/>
        </w:rPr>
        <w:t>市锦阳保安服务</w:t>
      </w:r>
      <w:r>
        <w:rPr>
          <w:rFonts w:hint="eastAsia"/>
          <w:b/>
          <w:color w:val="auto"/>
          <w:sz w:val="32"/>
          <w:szCs w:val="32"/>
          <w:highlight w:val="none"/>
          <w:lang w:eastAsia="zh-CN"/>
        </w:rPr>
        <w:t>有限公司</w:t>
      </w:r>
      <w:permEnd w:id="2"/>
      <w:r>
        <w:rPr>
          <w:rFonts w:hint="eastAsia"/>
          <w:b/>
          <w:color w:val="auto"/>
          <w:sz w:val="32"/>
          <w:szCs w:val="32"/>
          <w:highlight w:val="none"/>
          <w:lang w:val="en-US" w:eastAsia="zh-CN"/>
        </w:rPr>
        <w:t xml:space="preserve"> </w:t>
      </w:r>
      <w:r>
        <w:rPr>
          <w:b/>
          <w:color w:val="auto"/>
          <w:sz w:val="32"/>
          <w:szCs w:val="32"/>
          <w:highlight w:val="none"/>
        </w:rPr>
        <w:t>编制</w:t>
      </w:r>
    </w:p>
    <w:p w14:paraId="0A2FE937">
      <w:pPr>
        <w:spacing w:line="360" w:lineRule="auto"/>
        <w:jc w:val="center"/>
        <w:rPr>
          <w:b/>
          <w:bCs/>
          <w:color w:val="auto"/>
          <w:sz w:val="32"/>
          <w:szCs w:val="32"/>
          <w:highlight w:val="none"/>
          <w:lang w:val="zh-CN"/>
        </w:rPr>
      </w:pPr>
      <w:permStart w:id="3" w:edGrp="everyone"/>
      <w:r>
        <w:rPr>
          <w:rFonts w:hint="eastAsia"/>
          <w:b/>
          <w:color w:val="auto"/>
          <w:sz w:val="32"/>
          <w:szCs w:val="32"/>
          <w:highlight w:val="none"/>
        </w:rPr>
        <w:t>202</w:t>
      </w:r>
      <w:r>
        <w:rPr>
          <w:rFonts w:hint="eastAsia"/>
          <w:b/>
          <w:color w:val="auto"/>
          <w:sz w:val="32"/>
          <w:szCs w:val="32"/>
          <w:highlight w:val="none"/>
          <w:lang w:val="en-US" w:eastAsia="zh-CN"/>
        </w:rPr>
        <w:t>5</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ermEnd w:id="3"/>
    </w:p>
    <w:p w14:paraId="4C98954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highlight w:val="none"/>
        </w:rPr>
      </w:pPr>
      <w:permStart w:id="4" w:edGrp="everyone"/>
      <w:bookmarkStart w:id="0" w:name="_Hlt101843627"/>
      <w:bookmarkEnd w:id="0"/>
      <w:bookmarkStart w:id="1" w:name="_Hlt101233737"/>
      <w:bookmarkEnd w:id="1"/>
      <w:bookmarkStart w:id="2" w:name="_Toc18450"/>
      <w:bookmarkStart w:id="3" w:name="_Toc2899"/>
      <w:bookmarkStart w:id="4" w:name="_Toc91771145"/>
      <w:bookmarkStart w:id="5" w:name="_Toc4111"/>
      <w:r>
        <w:rPr>
          <w:rFonts w:hint="eastAsia" w:ascii="黑体" w:hAnsi="黑体" w:eastAsia="黑体"/>
          <w:color w:val="auto"/>
          <w:sz w:val="36"/>
          <w:highlight w:val="none"/>
        </w:rPr>
        <w:t>目 录</w:t>
      </w:r>
      <w:bookmarkEnd w:id="2"/>
      <w:bookmarkEnd w:id="3"/>
      <w:bookmarkEnd w:id="4"/>
      <w:bookmarkEnd w:id="5"/>
    </w:p>
    <w:p w14:paraId="38A79B75">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黑体" w:cs="Times New Roman"/>
          <w:bCs/>
          <w:sz w:val="24"/>
          <w:szCs w:val="24"/>
          <w:highlight w:val="none"/>
          <w:lang w:val="en-US" w:eastAsia="zh-CN" w:bidi="ar-SA"/>
        </w:rPr>
        <w:instrText xml:space="preserve"> </w:instrText>
      </w:r>
      <w:r>
        <w:rPr>
          <w:rFonts w:hint="default" w:ascii="Times New Roman" w:hAnsi="Times New Roman" w:eastAsia="宋体" w:cs="Times New Roman"/>
          <w:color w:val="auto"/>
          <w:kern w:val="2"/>
          <w:sz w:val="24"/>
          <w:szCs w:val="24"/>
          <w:highlight w:val="none"/>
        </w:rPr>
        <w:instrText xml:space="preserve">TOC \o "1-3" \h \u </w:instrText>
      </w:r>
      <w:r>
        <w:rPr>
          <w:rFonts w:hint="default" w:ascii="Times New Roman" w:hAnsi="Times New Roman" w:eastAsia="宋体" w:cs="Times New Roman"/>
          <w:color w:val="auto"/>
          <w:kern w:val="2"/>
          <w:sz w:val="24"/>
          <w:szCs w:val="24"/>
          <w:highlight w:val="none"/>
        </w:rPr>
        <w:fldChar w:fldCharType="separate"/>
      </w: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_Toc31920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 xml:space="preserve">第一章 </w:t>
      </w:r>
      <w:r>
        <w:rPr>
          <w:rFonts w:hint="default" w:ascii="Times New Roman" w:hAnsi="Times New Roman" w:eastAsia="黑体" w:cs="Times New Roman"/>
          <w:sz w:val="24"/>
          <w:szCs w:val="24"/>
          <w:highlight w:val="none"/>
          <w:lang w:eastAsia="zh-CN"/>
        </w:rPr>
        <w:t>询比</w:t>
      </w:r>
      <w:r>
        <w:rPr>
          <w:rFonts w:hint="default" w:ascii="Times New Roman" w:hAnsi="Times New Roman" w:eastAsia="黑体" w:cs="Times New Roman"/>
          <w:sz w:val="24"/>
          <w:szCs w:val="24"/>
          <w:highlight w:val="none"/>
        </w:rPr>
        <w:t>邀请公告</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_Toc31920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71E28A94">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_Toc24045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 xml:space="preserve">第二章 </w:t>
      </w:r>
      <w:r>
        <w:rPr>
          <w:rFonts w:hint="default" w:ascii="Times New Roman" w:hAnsi="Times New Roman" w:eastAsia="黑体" w:cs="Times New Roman"/>
          <w:sz w:val="24"/>
          <w:szCs w:val="24"/>
          <w:highlight w:val="none"/>
          <w:lang w:eastAsia="zh-CN"/>
        </w:rPr>
        <w:t>询比</w:t>
      </w:r>
      <w:r>
        <w:rPr>
          <w:rFonts w:hint="default" w:ascii="Times New Roman" w:hAnsi="Times New Roman" w:eastAsia="黑体" w:cs="Times New Roman"/>
          <w:sz w:val="24"/>
          <w:szCs w:val="24"/>
          <w:highlight w:val="none"/>
        </w:rPr>
        <w:t>须知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_Toc24045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F1A33D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_Toc203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一、供应商须知前附表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334B2DDE">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_Toc20642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二、总则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_Toc20642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58BAB62">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_Toc21309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三、</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3B99739C">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_Toc25276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四、</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响应文件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_Toc25276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97BB705">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_Toc25916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五、</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及评审过程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_Toc25916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22DB3ED">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_Toc9718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六、成交事项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_Toc9718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01D4613">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_Toc14733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七、合同事项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_Toc14733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770CF04">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_Toc12838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八、</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纪律要求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E9A0D48">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_Toc20523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九、询问、质疑和投诉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_Toc20523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1274AB7">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_Toc14554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十、其他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E7F209A">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_Toc26629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第三章 项目技术、服务及商务要求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289D50F">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_Toc4036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一、项目概况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_Toc4036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9E002E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_Toc738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二、技术</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服务要求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55955175">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_Toc1469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lang w:eastAsia="zh-CN"/>
        </w:rPr>
        <w:t>三</w:t>
      </w:r>
      <w:r>
        <w:rPr>
          <w:rFonts w:hint="default" w:ascii="Times New Roman" w:hAnsi="Times New Roman" w:cs="Times New Roman"/>
          <w:sz w:val="24"/>
          <w:szCs w:val="24"/>
          <w:highlight w:val="none"/>
        </w:rPr>
        <w:t>、商务要求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48D3ABF">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_Toc15164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第四章 响应文件格式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95E70A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_Toc10364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rPr>
        <w:t>一、报价函</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_Toc10364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27</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4F03212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_Toc8119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rPr>
        <w:t>二、资格证明材料</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_Toc8119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28</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7280FF9F">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_Toc1156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kern w:val="2"/>
          <w:sz w:val="24"/>
          <w:szCs w:val="24"/>
          <w:lang w:val="en-US" w:eastAsia="zh-CN" w:bidi="ar-SA"/>
        </w:rPr>
        <w:t>三、</w:t>
      </w:r>
      <w:r>
        <w:rPr>
          <w:rFonts w:hint="default" w:ascii="Times New Roman" w:hAnsi="Times New Roman" w:cs="Times New Roman" w:eastAsiaTheme="majorEastAsia"/>
          <w:bCs/>
          <w:sz w:val="24"/>
          <w:szCs w:val="24"/>
          <w:highlight w:val="none"/>
        </w:rPr>
        <w:t>法定代表人</w:t>
      </w:r>
      <w:r>
        <w:rPr>
          <w:rFonts w:hint="default" w:ascii="Times New Roman" w:hAnsi="Times New Roman" w:cs="Times New Roman" w:eastAsiaTheme="majorEastAsia"/>
          <w:bCs/>
          <w:sz w:val="24"/>
          <w:szCs w:val="24"/>
          <w:highlight w:val="none"/>
          <w:lang w:eastAsia="zh-CN"/>
        </w:rPr>
        <w:t>身份证明文件或</w:t>
      </w:r>
      <w:r>
        <w:rPr>
          <w:rFonts w:hint="default" w:ascii="Times New Roman" w:hAnsi="Times New Roman" w:cs="Times New Roman" w:eastAsiaTheme="majorEastAsia"/>
          <w:bCs/>
          <w:sz w:val="24"/>
          <w:szCs w:val="24"/>
          <w:highlight w:val="none"/>
        </w:rPr>
        <w:t>法定代表人授权书</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_Toc1156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29</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52F7CC23">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_Toc8274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四</w:t>
      </w:r>
      <w:r>
        <w:rPr>
          <w:rFonts w:hint="default" w:ascii="Times New Roman" w:hAnsi="Times New Roman" w:cs="Times New Roman" w:eastAsiaTheme="majorEastAsia"/>
          <w:bCs/>
          <w:sz w:val="24"/>
          <w:szCs w:val="24"/>
          <w:highlight w:val="none"/>
        </w:rPr>
        <w:t>、承诺函</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_Toc8274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32</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4BA50263">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_Toc12604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五</w:t>
      </w:r>
      <w:r>
        <w:rPr>
          <w:rFonts w:hint="default" w:ascii="Times New Roman" w:hAnsi="Times New Roman" w:cs="Times New Roman" w:eastAsiaTheme="majorEastAsia"/>
          <w:bCs/>
          <w:sz w:val="24"/>
          <w:szCs w:val="24"/>
          <w:highlight w:val="none"/>
        </w:rPr>
        <w:t>、竞标人廉洁自律承诺书</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_Toc12604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33</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4F7BA35B">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_Toc18610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六</w:t>
      </w:r>
      <w:r>
        <w:rPr>
          <w:rFonts w:hint="default" w:ascii="Times New Roman" w:hAnsi="Times New Roman" w:cs="Times New Roman" w:eastAsiaTheme="majorEastAsia"/>
          <w:bCs/>
          <w:sz w:val="24"/>
          <w:szCs w:val="24"/>
          <w:highlight w:val="none"/>
        </w:rPr>
        <w:t>、供应商基本情况表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_Toc18610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34</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54F40BE0">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_Toc32292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七</w:t>
      </w:r>
      <w:r>
        <w:rPr>
          <w:rFonts w:hint="default" w:ascii="Times New Roman" w:hAnsi="Times New Roman" w:cs="Times New Roman" w:eastAsiaTheme="majorEastAsia"/>
          <w:bCs/>
          <w:sz w:val="24"/>
          <w:szCs w:val="24"/>
          <w:highlight w:val="none"/>
        </w:rPr>
        <w:t>、供应商本项目管理、技术、服务人员情况表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_Toc32292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35</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296B00D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_Toc6913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八</w:t>
      </w:r>
      <w:r>
        <w:rPr>
          <w:rFonts w:hint="default" w:ascii="Times New Roman" w:hAnsi="Times New Roman" w:cs="Times New Roman" w:eastAsiaTheme="majorEastAsia"/>
          <w:bCs/>
          <w:sz w:val="24"/>
          <w:szCs w:val="24"/>
          <w:highlight w:val="none"/>
        </w:rPr>
        <w:t>、商务、技术、服务要求应答表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_Toc6913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36</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0A31105A">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_Toc15041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九</w:t>
      </w:r>
      <w:r>
        <w:rPr>
          <w:rFonts w:hint="default" w:ascii="Times New Roman" w:hAnsi="Times New Roman" w:cs="Times New Roman" w:eastAsiaTheme="majorEastAsia"/>
          <w:bCs/>
          <w:sz w:val="24"/>
          <w:szCs w:val="24"/>
          <w:highlight w:val="none"/>
        </w:rPr>
        <w:t>、类似业绩表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_Toc15041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38</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2030E05B">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_Toc11945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十、</w:t>
      </w:r>
      <w:r>
        <w:rPr>
          <w:rFonts w:hint="default" w:ascii="Times New Roman" w:hAnsi="Times New Roman" w:cs="Times New Roman" w:eastAsiaTheme="majorEastAsia"/>
          <w:bCs/>
          <w:sz w:val="24"/>
          <w:szCs w:val="24"/>
          <w:highlight w:val="none"/>
          <w:lang w:val="en-US" w:eastAsia="zh-CN"/>
        </w:rPr>
        <w:t>服务方案（格式自拟）</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_Toc11945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46</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08670A0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_Toc30439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第五章 保证金退还申请书</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_Toc30439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72B7D32">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_Toc6652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第六章 评审方法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_Toc6652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F05F11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_Toc17987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rPr>
        <w:t>一、</w:t>
      </w:r>
      <w:r>
        <w:rPr>
          <w:rFonts w:hint="default" w:ascii="Times New Roman" w:hAnsi="Times New Roman" w:cs="Times New Roman"/>
          <w:bCs/>
          <w:sz w:val="24"/>
          <w:szCs w:val="24"/>
          <w:highlight w:val="none"/>
          <w:lang w:eastAsia="zh-CN"/>
        </w:rPr>
        <w:t>询比</w:t>
      </w:r>
      <w:r>
        <w:rPr>
          <w:rFonts w:hint="default" w:ascii="Times New Roman" w:hAnsi="Times New Roman" w:cs="Times New Roman"/>
          <w:bCs/>
          <w:sz w:val="24"/>
          <w:szCs w:val="24"/>
          <w:highlight w:val="none"/>
        </w:rPr>
        <w:t>程序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_Toc17987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33780048">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_Toc9737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rPr>
        <w:t>二、评审标准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_Toc9737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D7DB93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_Toc10585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lang w:eastAsia="zh-CN"/>
        </w:rPr>
        <w:t>三、</w:t>
      </w:r>
      <w:r>
        <w:rPr>
          <w:rFonts w:hint="default" w:ascii="Times New Roman" w:hAnsi="Times New Roman" w:cs="Times New Roman"/>
          <w:bCs/>
          <w:sz w:val="24"/>
          <w:szCs w:val="24"/>
          <w:highlight w:val="none"/>
        </w:rPr>
        <w:t>综合评分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_Toc10585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A65630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_Toc1581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lang w:eastAsia="zh-CN"/>
        </w:rPr>
        <w:t>四</w:t>
      </w:r>
      <w:r>
        <w:rPr>
          <w:rFonts w:hint="default" w:ascii="Times New Roman" w:hAnsi="Times New Roman" w:cs="Times New Roman"/>
          <w:bCs/>
          <w:sz w:val="24"/>
          <w:szCs w:val="24"/>
          <w:highlight w:val="none"/>
        </w:rPr>
        <w:t>、评审纪律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22D0146">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_Toc3924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第七章 采购合同（草案）</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227A7001">
      <w:pPr>
        <w:pStyle w:val="24"/>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default" w:ascii="Times New Roman" w:hAnsi="Times New Roman" w:eastAsia="宋体" w:cs="Times New Roman"/>
          <w:color w:val="auto"/>
          <w:kern w:val="2"/>
          <w:sz w:val="24"/>
          <w:szCs w:val="24"/>
          <w:highlight w:val="none"/>
        </w:rPr>
        <w:fldChar w:fldCharType="end"/>
      </w: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6" w:name="_Toc24413"/>
      <w:bookmarkStart w:id="7" w:name="_Toc31920"/>
      <w:bookmarkStart w:id="8" w:name="_Toc91771146"/>
    </w:p>
    <w:permEnd w:id="4"/>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pPr>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邀请公告</w:t>
      </w:r>
      <w:bookmarkEnd w:id="6"/>
      <w:bookmarkEnd w:id="7"/>
      <w:bookmarkEnd w:id="8"/>
    </w:p>
    <w:p w14:paraId="2DBFF391">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5" w:edGrp="everyone"/>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厂区摄像头等相关配件</w:t>
      </w:r>
      <w:r>
        <w:rPr>
          <w:rFonts w:hint="eastAsia" w:ascii="Times New Roman" w:hAnsi="Times New Roman" w:eastAsia="宋体" w:cs="Times New Roman"/>
          <w:color w:val="auto"/>
          <w:sz w:val="24"/>
          <w:highlight w:val="none"/>
          <w:lang w:val="en-US" w:eastAsia="zh-CN"/>
        </w:rPr>
        <w:t>”采购项目</w:t>
      </w:r>
      <w:permEnd w:id="5"/>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9E20FC1">
      <w:pPr>
        <w:spacing w:line="360" w:lineRule="auto"/>
        <w:ind w:firstLine="482" w:firstLineChars="200"/>
        <w:rPr>
          <w:b/>
          <w:color w:val="auto"/>
          <w:sz w:val="24"/>
          <w:highlight w:val="none"/>
        </w:rPr>
      </w:pPr>
      <w:r>
        <w:rPr>
          <w:b/>
          <w:color w:val="auto"/>
          <w:sz w:val="24"/>
          <w:highlight w:val="none"/>
        </w:rPr>
        <w:t>一、采购项目基本情况</w:t>
      </w:r>
    </w:p>
    <w:p w14:paraId="0011C5CE">
      <w:pPr>
        <w:spacing w:line="360" w:lineRule="auto"/>
        <w:ind w:firstLine="480" w:firstLineChars="200"/>
        <w:rPr>
          <w:color w:val="auto"/>
          <w:sz w:val="24"/>
          <w:highlight w:val="none"/>
        </w:rPr>
      </w:pPr>
      <w:r>
        <w:rPr>
          <w:color w:val="auto"/>
          <w:sz w:val="24"/>
          <w:highlight w:val="none"/>
        </w:rPr>
        <w:t>1.项目编号：</w:t>
      </w:r>
      <w:permStart w:id="6" w:edGrp="everyone"/>
      <w:r>
        <w:rPr>
          <w:rFonts w:hint="eastAsia"/>
          <w:color w:val="auto"/>
          <w:sz w:val="24"/>
          <w:highlight w:val="none"/>
          <w:lang w:val="en-US" w:eastAsia="zh-CN"/>
        </w:rPr>
        <w:t>Y</w:t>
      </w:r>
      <w:r>
        <w:rPr>
          <w:rFonts w:hint="eastAsia"/>
          <w:color w:val="auto"/>
          <w:sz w:val="24"/>
          <w:highlight w:val="none"/>
        </w:rPr>
        <w:t>YCG[202</w:t>
      </w: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u w:val="single"/>
          <w:lang w:val="en-US" w:eastAsia="zh-CN"/>
        </w:rPr>
        <w:t xml:space="preserve"> 027</w:t>
      </w:r>
      <w:r>
        <w:rPr>
          <w:color w:val="auto"/>
          <w:sz w:val="24"/>
          <w:highlight w:val="none"/>
        </w:rPr>
        <w:t>号</w:t>
      </w:r>
      <w:permEnd w:id="6"/>
      <w:r>
        <w:rPr>
          <w:color w:val="auto"/>
          <w:sz w:val="24"/>
          <w:highlight w:val="none"/>
        </w:rPr>
        <w:t>。</w:t>
      </w:r>
    </w:p>
    <w:p w14:paraId="77CC01FF">
      <w:pPr>
        <w:spacing w:line="360" w:lineRule="auto"/>
        <w:ind w:firstLine="480" w:firstLineChars="200"/>
        <w:rPr>
          <w:color w:val="auto"/>
          <w:sz w:val="24"/>
          <w:highlight w:val="none"/>
        </w:rPr>
      </w:pPr>
      <w:r>
        <w:rPr>
          <w:color w:val="auto"/>
          <w:sz w:val="24"/>
          <w:highlight w:val="none"/>
        </w:rPr>
        <w:t>2.采购项目名称：</w:t>
      </w:r>
      <w:permStart w:id="7" w:edGrp="everyone"/>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厂区摄像头等相关配件</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采购</w:t>
      </w:r>
      <w:r>
        <w:rPr>
          <w:color w:val="auto"/>
          <w:sz w:val="24"/>
          <w:highlight w:val="none"/>
        </w:rPr>
        <w:t>。</w:t>
      </w:r>
      <w:permEnd w:id="7"/>
    </w:p>
    <w:p w14:paraId="320AB2A2">
      <w:pPr>
        <w:spacing w:line="360" w:lineRule="auto"/>
        <w:ind w:firstLine="480" w:firstLineChars="200"/>
        <w:rPr>
          <w:color w:val="auto"/>
          <w:sz w:val="24"/>
          <w:highlight w:val="none"/>
        </w:rPr>
      </w:pPr>
      <w:r>
        <w:rPr>
          <w:color w:val="auto"/>
          <w:sz w:val="24"/>
          <w:highlight w:val="none"/>
        </w:rPr>
        <w:t>3.采购人：</w:t>
      </w:r>
      <w:permStart w:id="8" w:edGrp="everyone"/>
      <w:r>
        <w:rPr>
          <w:rFonts w:hint="eastAsia" w:ascii="Times New Roman" w:hAnsi="Times New Roman" w:eastAsia="宋体" w:cs="Times New Roman"/>
          <w:color w:val="auto"/>
          <w:sz w:val="24"/>
          <w:highlight w:val="none"/>
          <w:lang w:eastAsia="zh-CN"/>
        </w:rPr>
        <w:t>泸州</w:t>
      </w:r>
      <w:r>
        <w:rPr>
          <w:rFonts w:hint="eastAsia" w:cs="Times New Roman"/>
          <w:color w:val="auto"/>
          <w:sz w:val="24"/>
          <w:highlight w:val="none"/>
          <w:lang w:val="en-US" w:eastAsia="zh-CN"/>
        </w:rPr>
        <w:t>市锦阳保安服务</w:t>
      </w:r>
      <w:r>
        <w:rPr>
          <w:rFonts w:hint="eastAsia" w:ascii="Times New Roman" w:hAnsi="Times New Roman" w:eastAsia="宋体" w:cs="Times New Roman"/>
          <w:color w:val="auto"/>
          <w:sz w:val="24"/>
          <w:highlight w:val="none"/>
          <w:lang w:eastAsia="zh-CN"/>
        </w:rPr>
        <w:t>有限公司</w:t>
      </w:r>
      <w:r>
        <w:rPr>
          <w:color w:val="auto"/>
          <w:sz w:val="24"/>
          <w:highlight w:val="none"/>
        </w:rPr>
        <w:t>。</w:t>
      </w:r>
      <w:permEnd w:id="8"/>
    </w:p>
    <w:p w14:paraId="5CAACDDB">
      <w:pPr>
        <w:spacing w:line="360" w:lineRule="auto"/>
        <w:ind w:firstLine="480" w:firstLineChars="200"/>
        <w:rPr>
          <w:color w:val="auto"/>
          <w:sz w:val="24"/>
          <w:highlight w:val="none"/>
        </w:rPr>
      </w:pPr>
      <w:r>
        <w:rPr>
          <w:color w:val="auto"/>
          <w:sz w:val="24"/>
          <w:highlight w:val="none"/>
        </w:rPr>
        <w:t>4.服务期限（工期）：</w:t>
      </w:r>
      <w:permStart w:id="9" w:edGrp="everyone"/>
      <w:r>
        <w:rPr>
          <w:rFonts w:hint="eastAsia"/>
          <w:color w:val="auto"/>
          <w:sz w:val="24"/>
          <w:highlight w:val="none"/>
          <w:u w:val="single"/>
          <w:lang w:val="en-US" w:eastAsia="zh-CN"/>
        </w:rPr>
        <w:t>合同签订后10个日历日内</w:t>
      </w:r>
      <w:r>
        <w:rPr>
          <w:color w:val="auto"/>
          <w:sz w:val="24"/>
          <w:highlight w:val="none"/>
        </w:rPr>
        <w:t>。</w:t>
      </w:r>
      <w:permEnd w:id="9"/>
    </w:p>
    <w:p w14:paraId="6C57DFEC">
      <w:pPr>
        <w:spacing w:line="360" w:lineRule="auto"/>
        <w:ind w:firstLine="482" w:firstLineChars="200"/>
        <w:rPr>
          <w:b/>
          <w:color w:val="auto"/>
          <w:sz w:val="24"/>
          <w:highlight w:val="none"/>
        </w:rPr>
      </w:pPr>
      <w:r>
        <w:rPr>
          <w:b/>
          <w:color w:val="auto"/>
          <w:sz w:val="24"/>
          <w:highlight w:val="none"/>
        </w:rPr>
        <w:t>二、资金情况</w:t>
      </w:r>
    </w:p>
    <w:p w14:paraId="12B1DEE7">
      <w:pPr>
        <w:spacing w:line="360" w:lineRule="auto"/>
        <w:ind w:right="31" w:rightChars="15" w:firstLine="480" w:firstLineChars="200"/>
        <w:rPr>
          <w:b/>
          <w:bCs/>
          <w:color w:val="auto"/>
          <w:sz w:val="24"/>
          <w:szCs w:val="24"/>
          <w:highlight w:val="none"/>
        </w:rPr>
      </w:pPr>
      <w:r>
        <w:rPr>
          <w:color w:val="auto"/>
          <w:sz w:val="24"/>
          <w:highlight w:val="none"/>
        </w:rPr>
        <w:t>资金来源及金额：</w:t>
      </w:r>
      <w:r>
        <w:rPr>
          <w:rFonts w:hint="eastAsia"/>
          <w:color w:val="auto"/>
          <w:sz w:val="24"/>
          <w:highlight w:val="none"/>
          <w:lang w:eastAsia="zh-CN"/>
        </w:rPr>
        <w:t>自筹</w:t>
      </w:r>
      <w:r>
        <w:rPr>
          <w:color w:val="auto"/>
          <w:sz w:val="24"/>
          <w:highlight w:val="none"/>
        </w:rPr>
        <w:t>资金</w:t>
      </w:r>
      <w:r>
        <w:rPr>
          <w:color w:val="auto"/>
          <w:sz w:val="24"/>
          <w:szCs w:val="24"/>
          <w:highlight w:val="none"/>
        </w:rPr>
        <w:t>，</w:t>
      </w:r>
      <w:r>
        <w:rPr>
          <w:b/>
          <w:bCs/>
          <w:color w:val="auto"/>
          <w:sz w:val="24"/>
          <w:szCs w:val="24"/>
          <w:highlight w:val="none"/>
        </w:rPr>
        <w:t>最高限价为</w:t>
      </w:r>
      <w:permStart w:id="10" w:edGrp="everyone"/>
      <w:r>
        <w:rPr>
          <w:b w:val="0"/>
          <w:bCs w:val="0"/>
          <w:color w:val="auto"/>
          <w:sz w:val="24"/>
          <w:szCs w:val="24"/>
          <w:highlight w:val="none"/>
          <w:u w:val="single"/>
        </w:rPr>
        <w:t xml:space="preserve">   </w:t>
      </w:r>
      <w:r>
        <w:rPr>
          <w:rFonts w:hint="eastAsia"/>
          <w:b w:val="0"/>
          <w:bCs w:val="0"/>
          <w:color w:val="auto"/>
          <w:sz w:val="24"/>
          <w:szCs w:val="24"/>
          <w:highlight w:val="none"/>
          <w:u w:val="single"/>
          <w:lang w:val="en-US" w:eastAsia="zh-CN"/>
        </w:rPr>
        <w:t>120000</w:t>
      </w:r>
      <w:r>
        <w:rPr>
          <w:b w:val="0"/>
          <w:bCs w:val="0"/>
          <w:color w:val="auto"/>
          <w:sz w:val="24"/>
          <w:szCs w:val="24"/>
          <w:highlight w:val="none"/>
          <w:u w:val="single"/>
        </w:rPr>
        <w:t xml:space="preserve">  </w:t>
      </w:r>
      <w:r>
        <w:rPr>
          <w:b/>
          <w:bCs/>
          <w:color w:val="auto"/>
          <w:sz w:val="24"/>
          <w:szCs w:val="24"/>
          <w:highlight w:val="none"/>
        </w:rPr>
        <w:t>元</w:t>
      </w:r>
      <w:permEnd w:id="10"/>
      <w:r>
        <w:rPr>
          <w:color w:val="auto"/>
          <w:sz w:val="24"/>
          <w:szCs w:val="24"/>
          <w:highlight w:val="none"/>
        </w:rPr>
        <w:t>。</w:t>
      </w:r>
    </w:p>
    <w:p w14:paraId="24FA754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B8384FB">
      <w:pPr>
        <w:spacing w:after="120" w:line="360" w:lineRule="auto"/>
        <w:ind w:firstLine="480" w:firstLineChars="200"/>
        <w:rPr>
          <w:color w:val="auto"/>
          <w:sz w:val="24"/>
          <w:szCs w:val="28"/>
          <w:highlight w:val="none"/>
        </w:rPr>
      </w:pP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主要工作内容</w:t>
      </w:r>
      <w:r>
        <w:rPr>
          <w:rFonts w:hint="eastAsia" w:cs="Times New Roman"/>
          <w:color w:val="auto"/>
          <w:sz w:val="24"/>
          <w:highlight w:val="none"/>
          <w:lang w:val="en-US" w:eastAsia="zh-CN"/>
        </w:rPr>
        <w:t>：</w:t>
      </w:r>
      <w:permStart w:id="11" w:edGrp="everyone"/>
      <w:r>
        <w:rPr>
          <w:rFonts w:hint="eastAsia" w:cs="Times New Roman"/>
          <w:color w:val="auto"/>
          <w:sz w:val="24"/>
          <w:highlight w:val="none"/>
          <w:lang w:val="en-US" w:eastAsia="zh-CN"/>
        </w:rPr>
        <w:t>对指定厂区进行摄像头等相关配件设备供应、</w:t>
      </w:r>
      <w:r>
        <w:rPr>
          <w:rFonts w:hint="eastAsia" w:ascii="Times New Roman" w:hAnsi="Times New Roman" w:eastAsia="宋体" w:cs="Times New Roman"/>
          <w:color w:val="auto"/>
          <w:spacing w:val="-4"/>
          <w:sz w:val="24"/>
          <w:highlight w:val="none"/>
          <w:lang w:val="en-US" w:eastAsia="zh-CN"/>
        </w:rPr>
        <w:t>安装和测试。</w:t>
      </w:r>
      <w:permEnd w:id="11"/>
      <w:r>
        <w:rPr>
          <w:color w:val="auto"/>
          <w:sz w:val="24"/>
          <w:szCs w:val="28"/>
          <w:highlight w:val="none"/>
        </w:rPr>
        <w:t>（具体要求详见</w:t>
      </w:r>
      <w:r>
        <w:rPr>
          <w:rFonts w:hint="eastAsia"/>
          <w:color w:val="auto"/>
          <w:sz w:val="24"/>
          <w:szCs w:val="28"/>
          <w:highlight w:val="none"/>
          <w:lang w:eastAsia="zh-CN"/>
        </w:rPr>
        <w:t>询比</w:t>
      </w:r>
      <w:r>
        <w:rPr>
          <w:color w:val="auto"/>
          <w:sz w:val="24"/>
          <w:szCs w:val="28"/>
          <w:highlight w:val="none"/>
        </w:rPr>
        <w:t>文件第三章）</w:t>
      </w:r>
    </w:p>
    <w:p w14:paraId="186D783C">
      <w:pPr>
        <w:spacing w:after="120" w:line="360" w:lineRule="auto"/>
        <w:ind w:firstLine="482" w:firstLineChars="200"/>
        <w:rPr>
          <w:b/>
          <w:bCs/>
          <w:color w:val="auto"/>
          <w:sz w:val="24"/>
          <w:highlight w:val="none"/>
        </w:rPr>
      </w:pPr>
      <w:r>
        <w:rPr>
          <w:b/>
          <w:bCs/>
          <w:color w:val="auto"/>
          <w:sz w:val="24"/>
          <w:highlight w:val="none"/>
        </w:rPr>
        <w:t>四、供应商邀请方式</w:t>
      </w:r>
    </w:p>
    <w:p w14:paraId="49AD0917">
      <w:pPr>
        <w:tabs>
          <w:tab w:val="left" w:pos="7665"/>
        </w:tabs>
        <w:spacing w:line="360" w:lineRule="auto"/>
        <w:ind w:firstLine="600" w:firstLineChars="250"/>
        <w:rPr>
          <w:color w:val="auto"/>
          <w:sz w:val="24"/>
          <w:highlight w:val="none"/>
        </w:rPr>
      </w:pPr>
      <w:permStart w:id="12" w:edGrp="everyone"/>
      <w:r>
        <w:rPr>
          <w:color w:val="auto"/>
          <w:sz w:val="24"/>
          <w:highlight w:val="none"/>
        </w:rPr>
        <w:t>在全国公共资源交易平台（四川省泸州市）https://www.lzsggzy.com/、</w:t>
      </w:r>
      <w:r>
        <w:rPr>
          <w:rFonts w:hint="eastAsia"/>
          <w:color w:val="auto"/>
          <w:sz w:val="24"/>
          <w:highlight w:val="none"/>
          <w:lang w:eastAsia="zh-CN"/>
        </w:rPr>
        <w:t>泸州盛江投资发展有限公司网站https://www.lzsjtz.com/</w:t>
      </w:r>
      <w:r>
        <w:rPr>
          <w:color w:val="auto"/>
          <w:sz w:val="24"/>
          <w:highlight w:val="none"/>
        </w:rPr>
        <w:t>上以公告形式发布。</w:t>
      </w:r>
      <w:permEnd w:id="12"/>
    </w:p>
    <w:p w14:paraId="4CDBF94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B239286">
      <w:pPr>
        <w:pStyle w:val="27"/>
        <w:ind w:firstLine="600" w:firstLineChars="250"/>
        <w:rPr>
          <w:color w:val="auto"/>
          <w:sz w:val="24"/>
          <w:highlight w:val="none"/>
        </w:rPr>
      </w:pPr>
      <w:r>
        <w:rPr>
          <w:color w:val="auto"/>
          <w:sz w:val="24"/>
          <w:highlight w:val="none"/>
        </w:rPr>
        <w:t>1.具有独立承担民事责任的能力（</w:t>
      </w:r>
      <w:permStart w:id="13" w:edGrp="everyone"/>
      <w:r>
        <w:rPr>
          <w:rFonts w:hint="eastAsia"/>
          <w:b/>
          <w:bCs/>
          <w:color w:val="auto"/>
          <w:sz w:val="24"/>
          <w:szCs w:val="24"/>
          <w:highlight w:val="none"/>
          <w:lang w:eastAsia="zh-CN"/>
        </w:rPr>
        <w:t>☑</w:t>
      </w:r>
      <w:permEnd w:id="13"/>
      <w:r>
        <w:rPr>
          <w:bCs/>
          <w:color w:val="auto"/>
          <w:sz w:val="24"/>
          <w:highlight w:val="none"/>
        </w:rPr>
        <w:t>的法人）</w:t>
      </w:r>
      <w:r>
        <w:rPr>
          <w:color w:val="auto"/>
          <w:sz w:val="24"/>
          <w:highlight w:val="none"/>
        </w:rPr>
        <w:t>；</w:t>
      </w:r>
    </w:p>
    <w:p w14:paraId="1C6B3DD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6895567F">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A085F31">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703A4D9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B808FF6">
      <w:pPr>
        <w:pStyle w:val="27"/>
        <w:ind w:firstLine="600" w:firstLineChars="250"/>
        <w:rPr>
          <w:color w:val="auto"/>
          <w:sz w:val="24"/>
          <w:highlight w:val="none"/>
        </w:rPr>
      </w:pPr>
      <w:r>
        <w:rPr>
          <w:color w:val="auto"/>
          <w:sz w:val="24"/>
          <w:highlight w:val="none"/>
        </w:rPr>
        <w:t>6.法律、行政法规规定的其他条件；</w:t>
      </w:r>
    </w:p>
    <w:p w14:paraId="0C239A3D">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ermStart w:id="14" w:edGrp="everyone"/>
      <w:r>
        <w:rPr>
          <w:rFonts w:hint="eastAsia"/>
          <w:bCs/>
          <w:color w:val="auto"/>
          <w:sz w:val="24"/>
          <w:highlight w:val="none"/>
          <w:lang w:val="en-US" w:eastAsia="zh-CN"/>
        </w:rPr>
        <w:t>无。</w:t>
      </w:r>
      <w:permEnd w:id="14"/>
    </w:p>
    <w:p w14:paraId="34567662">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92FCB09">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eastAsia="zh-CN"/>
        </w:rPr>
        <w:t>裕阳公司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eastAsia="zh-CN"/>
        </w:rPr>
        <w:t>裕阳公司</w:t>
      </w:r>
      <w:r>
        <w:rPr>
          <w:color w:val="auto"/>
          <w:sz w:val="24"/>
          <w:highlight w:val="none"/>
        </w:rPr>
        <w:t>列入不诚信供应商库的，视同联合体被</w:t>
      </w:r>
      <w:r>
        <w:rPr>
          <w:rFonts w:hint="eastAsia"/>
          <w:color w:val="auto"/>
          <w:sz w:val="24"/>
          <w:highlight w:val="none"/>
          <w:lang w:eastAsia="zh-CN"/>
        </w:rPr>
        <w:t>裕阳公司</w:t>
      </w:r>
      <w:r>
        <w:rPr>
          <w:color w:val="auto"/>
          <w:sz w:val="24"/>
          <w:highlight w:val="none"/>
        </w:rPr>
        <w:t>列入不诚信供应商库）。</w:t>
      </w:r>
    </w:p>
    <w:p w14:paraId="1D9FCB6A">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14:paraId="53A6E1CD">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文件在</w:t>
      </w:r>
      <w:permStart w:id="15" w:edGrp="everyone"/>
      <w:r>
        <w:rPr>
          <w:rFonts w:hint="eastAsia"/>
          <w:color w:val="auto"/>
          <w:sz w:val="24"/>
          <w:highlight w:val="none"/>
          <w:lang w:eastAsia="zh-CN"/>
        </w:rPr>
        <w:t>泸州盛江投资发展有限公司</w:t>
      </w:r>
      <w:r>
        <w:rPr>
          <w:rFonts w:hint="eastAsia"/>
          <w:color w:val="auto"/>
          <w:sz w:val="24"/>
          <w:highlight w:val="none"/>
        </w:rPr>
        <w:t>https</w:t>
      </w:r>
      <w:r>
        <w:rPr>
          <w:rFonts w:hint="eastAsia"/>
          <w:color w:val="auto"/>
          <w:sz w:val="24"/>
          <w:highlight w:val="none"/>
          <w:lang w:eastAsia="zh-CN"/>
        </w:rPr>
        <w:t>://www.lzsjtz.com/</w:t>
      </w:r>
      <w:r>
        <w:rPr>
          <w:color w:val="auto"/>
          <w:sz w:val="24"/>
          <w:highlight w:val="none"/>
        </w:rPr>
        <w:t>网站</w:t>
      </w:r>
      <w:permEnd w:id="15"/>
      <w:r>
        <w:rPr>
          <w:color w:val="auto"/>
          <w:sz w:val="24"/>
          <w:highlight w:val="none"/>
        </w:rPr>
        <w:t>上公布并</w:t>
      </w:r>
      <w:r>
        <w:rPr>
          <w:color w:val="auto"/>
          <w:sz w:val="24"/>
          <w:szCs w:val="18"/>
          <w:highlight w:val="none"/>
        </w:rPr>
        <w:t>免费获取，</w:t>
      </w:r>
      <w:r>
        <w:rPr>
          <w:color w:val="auto"/>
          <w:sz w:val="24"/>
          <w:szCs w:val="28"/>
          <w:highlight w:val="none"/>
        </w:rPr>
        <w:t>请有意参加</w:t>
      </w:r>
      <w:r>
        <w:rPr>
          <w:rFonts w:hint="eastAsia"/>
          <w:color w:val="auto"/>
          <w:sz w:val="24"/>
          <w:szCs w:val="28"/>
          <w:highlight w:val="none"/>
          <w:lang w:eastAsia="zh-CN"/>
        </w:rPr>
        <w:t>询比</w:t>
      </w:r>
      <w:r>
        <w:rPr>
          <w:color w:val="auto"/>
          <w:sz w:val="24"/>
          <w:szCs w:val="28"/>
          <w:highlight w:val="none"/>
        </w:rPr>
        <w:t>的供应商自行下载，</w:t>
      </w:r>
      <w:r>
        <w:rPr>
          <w:b/>
          <w:bCs/>
          <w:color w:val="auto"/>
          <w:sz w:val="24"/>
          <w:szCs w:val="28"/>
          <w:highlight w:val="none"/>
        </w:rPr>
        <w:t>不需现场领取资料</w:t>
      </w:r>
      <w:r>
        <w:rPr>
          <w:color w:val="auto"/>
          <w:sz w:val="24"/>
          <w:szCs w:val="28"/>
          <w:highlight w:val="none"/>
        </w:rPr>
        <w:t>。</w:t>
      </w:r>
    </w:p>
    <w:p w14:paraId="727271E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6" w:edGrp="everyone"/>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30</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permEnd w:id="16"/>
      <w:r>
        <w:rPr>
          <w:color w:val="auto"/>
          <w:sz w:val="24"/>
          <w:szCs w:val="28"/>
          <w:highlight w:val="none"/>
        </w:rPr>
        <w:t>（北京时间）。</w:t>
      </w:r>
    </w:p>
    <w:p w14:paraId="112592F5">
      <w:pPr>
        <w:spacing w:after="120" w:line="360" w:lineRule="auto"/>
        <w:ind w:firstLine="482" w:firstLineChars="200"/>
        <w:rPr>
          <w:b/>
          <w:color w:val="auto"/>
          <w:sz w:val="24"/>
          <w:highlight w:val="none"/>
        </w:rPr>
      </w:pPr>
      <w:r>
        <w:rPr>
          <w:b/>
          <w:color w:val="auto"/>
          <w:sz w:val="24"/>
          <w:highlight w:val="none"/>
        </w:rPr>
        <w:t>九、递交响应文件方式：</w:t>
      </w:r>
    </w:p>
    <w:p w14:paraId="09854D7A">
      <w:pPr>
        <w:spacing w:line="360" w:lineRule="auto"/>
        <w:ind w:firstLine="482" w:firstLineChars="200"/>
        <w:rPr>
          <w:rFonts w:hint="eastAsia" w:ascii="宋体" w:hAnsi="宋体" w:eastAsia="宋体" w:cs="宋体"/>
          <w:b/>
          <w:color w:val="auto"/>
          <w:sz w:val="24"/>
          <w:szCs w:val="24"/>
          <w:highlight w:val="none"/>
          <w:u w:val="none"/>
        </w:rPr>
      </w:pPr>
      <w:permStart w:id="17" w:edGrp="everyone"/>
      <w:r>
        <w:rPr>
          <w:rFonts w:hint="eastAsia" w:ascii="宋体" w:hAnsi="宋体" w:eastAsia="宋体" w:cs="宋体"/>
          <w:b/>
          <w:bCs/>
          <w:color w:val="auto"/>
          <w:sz w:val="24"/>
          <w:szCs w:val="24"/>
          <w:highlight w:val="none"/>
          <w:lang w:eastAsia="zh-CN"/>
        </w:rPr>
        <w:t>☑</w:t>
      </w:r>
      <w:permEnd w:id="17"/>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permStart w:id="18" w:edGrp="everyone"/>
      <w:r>
        <w:rPr>
          <w:rFonts w:hint="eastAsia" w:ascii="宋体" w:hAnsi="宋体" w:eastAsia="宋体" w:cs="宋体"/>
          <w:b/>
          <w:bCs/>
          <w:color w:val="auto"/>
          <w:sz w:val="24"/>
          <w:szCs w:val="24"/>
          <w:highlight w:val="none"/>
          <w:u w:val="none"/>
        </w:rPr>
        <w:t>1</w:t>
      </w:r>
      <w:permEnd w:id="18"/>
      <w:r>
        <w:rPr>
          <w:rFonts w:hint="eastAsia" w:ascii="宋体" w:hAnsi="宋体" w:eastAsia="宋体" w:cs="宋体"/>
          <w:b/>
          <w:bCs/>
          <w:color w:val="auto"/>
          <w:sz w:val="24"/>
          <w:szCs w:val="24"/>
          <w:highlight w:val="none"/>
          <w:u w:val="none"/>
        </w:rPr>
        <w:t>正</w:t>
      </w:r>
      <w:permStart w:id="19"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w:t>
      </w:r>
      <w:permEnd w:id="19"/>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DE34E80">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permStart w:id="20" w:edGrp="everyone"/>
      <w:r>
        <w:rPr>
          <w:rFonts w:hint="eastAsia" w:ascii="宋体" w:hAnsi="宋体" w:cs="宋体"/>
          <w:b/>
          <w:bCs/>
          <w:color w:val="auto"/>
          <w:sz w:val="24"/>
          <w:szCs w:val="24"/>
          <w:highlight w:val="none"/>
          <w:lang w:eastAsia="zh-CN"/>
        </w:rPr>
        <w:t>□</w:t>
      </w:r>
      <w:permEnd w:id="20"/>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2"/>
          <w:rFonts w:hint="eastAsia" w:ascii="宋体" w:hAnsi="宋体" w:cs="宋体"/>
          <w:bCs/>
          <w:color w:val="auto"/>
          <w:sz w:val="24"/>
          <w:szCs w:val="24"/>
          <w:highlight w:val="none"/>
          <w:u w:val="none"/>
          <w:lang w:eastAsia="zh-CN"/>
        </w:rPr>
        <w:t>询比</w:t>
      </w:r>
      <w:r>
        <w:rPr>
          <w:rStyle w:val="22"/>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4B2C094">
      <w:pPr>
        <w:spacing w:line="360" w:lineRule="auto"/>
        <w:ind w:firstLine="482" w:firstLineChars="200"/>
        <w:rPr>
          <w:rFonts w:hint="eastAsia" w:ascii="宋体" w:hAnsi="宋体" w:eastAsia="宋体" w:cs="宋体"/>
          <w:color w:val="auto"/>
          <w:sz w:val="24"/>
          <w:szCs w:val="24"/>
          <w:highlight w:val="none"/>
          <w:u w:val="none"/>
          <w:lang w:eastAsia="zh-CN"/>
        </w:rPr>
      </w:pPr>
      <w:permStart w:id="21" w:edGrp="everyone"/>
      <w:r>
        <w:rPr>
          <w:rFonts w:hint="eastAsia" w:ascii="宋体" w:hAnsi="宋体" w:cs="宋体"/>
          <w:b/>
          <w:bCs/>
          <w:color w:val="auto"/>
          <w:sz w:val="24"/>
          <w:szCs w:val="24"/>
          <w:highlight w:val="none"/>
          <w:lang w:eastAsia="zh-CN"/>
        </w:rPr>
        <w:t>□</w:t>
      </w:r>
      <w:permEnd w:id="21"/>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permStart w:id="22" w:edGrp="everyone"/>
      <w:r>
        <w:rPr>
          <w:rFonts w:hint="eastAsia" w:ascii="宋体" w:hAnsi="宋体" w:eastAsia="宋体" w:cs="宋体"/>
          <w:b/>
          <w:bCs/>
          <w:color w:val="auto"/>
          <w:sz w:val="24"/>
          <w:szCs w:val="24"/>
          <w:highlight w:val="none"/>
          <w:u w:val="none"/>
        </w:rPr>
        <w:t>1</w:t>
      </w:r>
      <w:permEnd w:id="22"/>
      <w:r>
        <w:rPr>
          <w:rFonts w:hint="eastAsia" w:ascii="宋体" w:hAnsi="宋体" w:eastAsia="宋体" w:cs="宋体"/>
          <w:b/>
          <w:bCs/>
          <w:color w:val="auto"/>
          <w:sz w:val="24"/>
          <w:szCs w:val="24"/>
          <w:highlight w:val="none"/>
          <w:u w:val="none"/>
        </w:rPr>
        <w:t>正</w:t>
      </w:r>
      <w:permStart w:id="23" w:edGrp="everyone"/>
      <w:r>
        <w:rPr>
          <w:rFonts w:hint="eastAsia" w:ascii="宋体" w:hAnsi="宋体" w:cs="宋体"/>
          <w:b/>
          <w:bCs/>
          <w:color w:val="auto"/>
          <w:sz w:val="24"/>
          <w:szCs w:val="24"/>
          <w:highlight w:val="none"/>
          <w:u w:val="none"/>
          <w:lang w:val="en-US" w:eastAsia="zh-CN"/>
        </w:rPr>
        <w:t>1</w:t>
      </w:r>
      <w:permEnd w:id="23"/>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w:t>
      </w:r>
      <w:r>
        <w:rPr>
          <w:rStyle w:val="22"/>
          <w:rFonts w:hint="eastAsia" w:ascii="宋体" w:hAnsi="宋体" w:cs="宋体"/>
          <w:bCs/>
          <w:color w:val="auto"/>
          <w:sz w:val="24"/>
          <w:szCs w:val="24"/>
          <w:highlight w:val="none"/>
          <w:u w:val="none"/>
          <w:lang w:eastAsia="zh-CN"/>
        </w:rPr>
        <w:t>询比</w:t>
      </w:r>
      <w:r>
        <w:rPr>
          <w:rStyle w:val="22"/>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4819E09">
      <w:pPr>
        <w:pStyle w:val="2"/>
        <w:ind w:firstLine="480" w:firstLineChars="200"/>
        <w:rPr>
          <w:color w:val="auto"/>
          <w:sz w:val="24"/>
          <w:szCs w:val="28"/>
          <w:highlight w:val="none"/>
        </w:rPr>
      </w:pPr>
      <w:r>
        <w:rPr>
          <w:color w:val="auto"/>
          <w:sz w:val="24"/>
          <w:highlight w:val="none"/>
        </w:rPr>
        <w:t>本次采购不接收邮寄的响应文件。</w:t>
      </w:r>
    </w:p>
    <w:p w14:paraId="2D35E42B">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permStart w:id="24" w:edGrp="everyone"/>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ermEnd w:id="24"/>
    </w:p>
    <w:p w14:paraId="6FF1B4EB">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EF43F7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permStart w:id="25" w:edGrp="everyone"/>
      <w:r>
        <w:rPr>
          <w:rFonts w:hint="eastAsia"/>
          <w:color w:val="auto"/>
          <w:sz w:val="24"/>
          <w:highlight w:val="none"/>
          <w:lang w:eastAsia="zh-CN"/>
        </w:rPr>
        <w:t>泸州</w:t>
      </w:r>
      <w:r>
        <w:rPr>
          <w:rFonts w:hint="eastAsia"/>
          <w:color w:val="auto"/>
          <w:sz w:val="24"/>
          <w:highlight w:val="none"/>
          <w:lang w:val="en-US" w:eastAsia="zh-CN"/>
        </w:rPr>
        <w:t>市锦阳保安服务</w:t>
      </w:r>
      <w:r>
        <w:rPr>
          <w:rFonts w:hint="eastAsia"/>
          <w:color w:val="auto"/>
          <w:sz w:val="24"/>
          <w:highlight w:val="none"/>
          <w:lang w:eastAsia="zh-CN"/>
        </w:rPr>
        <w:t>有限公司</w:t>
      </w:r>
      <w:permEnd w:id="25"/>
    </w:p>
    <w:p w14:paraId="7C73A2C2">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permStart w:id="26" w:edGrp="everyone"/>
      <w:r>
        <w:rPr>
          <w:bCs/>
          <w:color w:val="auto"/>
          <w:sz w:val="24"/>
          <w:highlight w:val="none"/>
          <w:u w:val="none"/>
        </w:rPr>
        <w:t>泸州市江阳区张坝桂圆林西门综合楼</w:t>
      </w:r>
      <w:permEnd w:id="26"/>
    </w:p>
    <w:p w14:paraId="49624D1B">
      <w:pPr>
        <w:pStyle w:val="27"/>
        <w:ind w:firstLine="480"/>
        <w:rPr>
          <w:rFonts w:hint="default"/>
          <w:color w:val="auto"/>
          <w:sz w:val="24"/>
          <w:highlight w:val="none"/>
          <w:lang w:val="en-US"/>
        </w:rPr>
      </w:pPr>
      <w:r>
        <w:rPr>
          <w:color w:val="auto"/>
          <w:sz w:val="24"/>
          <w:highlight w:val="none"/>
        </w:rPr>
        <w:t>联系人：</w:t>
      </w:r>
      <w:permStart w:id="27" w:edGrp="everyone"/>
      <w:r>
        <w:rPr>
          <w:rFonts w:hint="eastAsia"/>
          <w:color w:val="auto"/>
          <w:sz w:val="24"/>
          <w:highlight w:val="none"/>
          <w:lang w:val="en-US" w:eastAsia="zh-CN"/>
        </w:rPr>
        <w:t>赵女士</w:t>
      </w:r>
    </w:p>
    <w:permEnd w:id="27"/>
    <w:p w14:paraId="47316B41">
      <w:pPr>
        <w:pStyle w:val="27"/>
        <w:ind w:firstLine="480"/>
        <w:rPr>
          <w:color w:val="auto"/>
          <w:sz w:val="24"/>
          <w:highlight w:val="none"/>
        </w:rPr>
      </w:pPr>
    </w:p>
    <w:p w14:paraId="78BAC7FF">
      <w:pPr>
        <w:pStyle w:val="27"/>
        <w:ind w:firstLine="480"/>
        <w:rPr>
          <w:color w:val="auto"/>
          <w:sz w:val="24"/>
          <w:highlight w:val="none"/>
        </w:rPr>
      </w:pPr>
      <w:r>
        <w:rPr>
          <w:color w:val="auto"/>
          <w:sz w:val="24"/>
          <w:highlight w:val="none"/>
        </w:rPr>
        <w:t>联系电话：</w:t>
      </w:r>
      <w:permStart w:id="28" w:edGrp="everyone"/>
      <w:r>
        <w:rPr>
          <w:rFonts w:hint="eastAsia"/>
          <w:color w:val="auto"/>
          <w:sz w:val="24"/>
          <w:highlight w:val="none"/>
          <w:lang w:val="en-US" w:eastAsia="zh-CN"/>
        </w:rPr>
        <w:t>0830-6664283</w:t>
      </w:r>
      <w:permEnd w:id="28"/>
      <w:r>
        <w:rPr>
          <w:color w:val="auto"/>
          <w:sz w:val="24"/>
          <w:highlight w:val="none"/>
        </w:rPr>
        <w:t xml:space="preserve">           </w:t>
      </w:r>
    </w:p>
    <w:p w14:paraId="40B3BECC">
      <w:pPr>
        <w:pStyle w:val="16"/>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permStart w:id="29" w:edGrp="everyone"/>
      <w:r>
        <w:rPr>
          <w:rFonts w:ascii="Times New Roman" w:hAnsi="Times New Roman"/>
          <w:color w:val="auto"/>
          <w:sz w:val="24"/>
          <w:highlight w:val="none"/>
        </w:rPr>
        <w:t>0830-6522</w:t>
      </w:r>
      <w:r>
        <w:rPr>
          <w:rFonts w:hint="eastAsia" w:ascii="Times New Roman" w:hAnsi="Times New Roman"/>
          <w:color w:val="auto"/>
          <w:sz w:val="24"/>
          <w:highlight w:val="none"/>
          <w:lang w:val="en-US" w:eastAsia="zh-CN"/>
        </w:rPr>
        <w:t>163</w:t>
      </w:r>
      <w:permEnd w:id="29"/>
    </w:p>
    <w:p w14:paraId="27CA5947">
      <w:pPr>
        <w:pStyle w:val="16"/>
        <w:spacing w:before="0" w:beforeAutospacing="0" w:after="0" w:afterAutospacing="0" w:line="360" w:lineRule="auto"/>
        <w:ind w:firstLine="5520" w:firstLineChars="2300"/>
        <w:rPr>
          <w:rFonts w:ascii="Times New Roman" w:hAnsi="Times New Roman"/>
          <w:color w:val="auto"/>
          <w:sz w:val="24"/>
          <w:szCs w:val="24"/>
          <w:highlight w:val="none"/>
        </w:rPr>
      </w:pPr>
      <w:permStart w:id="30" w:edGrp="everyone"/>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25</w:t>
      </w:r>
      <w:r>
        <w:rPr>
          <w:rFonts w:ascii="Times New Roman" w:hAnsi="Times New Roman"/>
          <w:color w:val="auto"/>
          <w:sz w:val="24"/>
          <w:szCs w:val="24"/>
          <w:highlight w:val="none"/>
        </w:rPr>
        <w:t>日</w:t>
      </w:r>
      <w:permEnd w:id="30"/>
    </w:p>
    <w:p w14:paraId="5921EDDF">
      <w:pPr>
        <w:pStyle w:val="16"/>
        <w:spacing w:before="0" w:beforeAutospacing="0" w:after="0" w:afterAutospacing="0" w:line="440" w:lineRule="exact"/>
        <w:rPr>
          <w:rFonts w:hint="eastAsia"/>
          <w:color w:val="auto"/>
          <w:sz w:val="24"/>
          <w:szCs w:val="24"/>
          <w:highlight w:val="none"/>
        </w:rPr>
      </w:pPr>
    </w:p>
    <w:p w14:paraId="74579AF7">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91771147"/>
      <w:bookmarkStart w:id="10" w:name="_Toc24045"/>
      <w:bookmarkStart w:id="11" w:name="_Toc8257"/>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9"/>
      <w:bookmarkEnd w:id="10"/>
      <w:bookmarkEnd w:id="11"/>
    </w:p>
    <w:p w14:paraId="35DC8207">
      <w:pPr>
        <w:spacing w:after="240" w:afterLines="100"/>
        <w:jc w:val="center"/>
        <w:outlineLvl w:val="1"/>
        <w:rPr>
          <w:rFonts w:hint="eastAsia" w:ascii="宋体" w:hAnsi="宋体"/>
          <w:b/>
          <w:color w:val="auto"/>
          <w:sz w:val="32"/>
          <w:highlight w:val="none"/>
        </w:rPr>
      </w:pPr>
      <w:bookmarkStart w:id="12" w:name="_Toc91771148"/>
      <w:bookmarkStart w:id="13" w:name="_Toc203"/>
      <w:bookmarkStart w:id="14" w:name="_Toc17277"/>
      <w:r>
        <w:rPr>
          <w:rFonts w:hint="eastAsia" w:ascii="宋体" w:hAnsi="宋体"/>
          <w:b/>
          <w:color w:val="auto"/>
          <w:sz w:val="32"/>
          <w:highlight w:val="none"/>
        </w:rPr>
        <w:t>一、供应商须知前附表</w:t>
      </w:r>
      <w:bookmarkEnd w:id="12"/>
      <w:bookmarkEnd w:id="13"/>
      <w:bookmarkEnd w:id="14"/>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61D4EEC">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0C8B18A">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964627C">
            <w:pPr>
              <w:pStyle w:val="28"/>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14:paraId="2B626A9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14:paraId="58361C6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EC177E2">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019811B">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522C157E">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22D548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1" w:edGrp="everyone"/>
            <w:r>
              <w:rPr>
                <w:rFonts w:hint="eastAsia"/>
                <w:color w:val="auto"/>
                <w:highlight w:val="none"/>
                <w:lang w:val="en-US" w:eastAsia="zh-CN"/>
              </w:rPr>
              <w:t>120000</w:t>
            </w:r>
            <w:r>
              <w:rPr>
                <w:rFonts w:hint="eastAsia"/>
                <w:color w:val="auto"/>
                <w:highlight w:val="none"/>
                <w:lang w:val="zh-CN"/>
              </w:rPr>
              <w:t>元</w:t>
            </w:r>
            <w:permEnd w:id="31"/>
            <w:r>
              <w:rPr>
                <w:rFonts w:hint="eastAsia"/>
                <w:color w:val="auto"/>
                <w:highlight w:val="none"/>
                <w:lang w:val="zh-CN"/>
              </w:rPr>
              <w:t>；</w:t>
            </w:r>
          </w:p>
          <w:p w14:paraId="1381B98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C1F9BE8">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623B105D">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49A83A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2" w:edGrp="everyone"/>
            <w:r>
              <w:rPr>
                <w:rFonts w:hint="eastAsia"/>
                <w:color w:val="auto"/>
                <w:highlight w:val="none"/>
                <w:lang w:val="en-US" w:eastAsia="zh-CN"/>
              </w:rPr>
              <w:t>120000</w:t>
            </w:r>
            <w:r>
              <w:rPr>
                <w:rFonts w:hint="eastAsia"/>
                <w:color w:val="auto"/>
                <w:highlight w:val="none"/>
                <w:lang w:val="zh-CN"/>
              </w:rPr>
              <w:t>元</w:t>
            </w:r>
            <w:permEnd w:id="32"/>
            <w:r>
              <w:rPr>
                <w:rFonts w:hint="eastAsia"/>
                <w:color w:val="auto"/>
                <w:highlight w:val="none"/>
                <w:lang w:val="zh-CN"/>
              </w:rPr>
              <w:t>；</w:t>
            </w:r>
          </w:p>
          <w:p w14:paraId="34C328E6">
            <w:pPr>
              <w:pStyle w:val="28"/>
              <w:spacing w:line="300" w:lineRule="auto"/>
              <w:ind w:firstLine="241" w:firstLineChars="100"/>
              <w:jc w:val="both"/>
              <w:rPr>
                <w:rFonts w:hint="eastAsia"/>
                <w:color w:val="auto"/>
                <w:highlight w:val="none"/>
              </w:rPr>
            </w:pPr>
            <w:permStart w:id="33" w:edGrp="everyone"/>
            <w:r>
              <w:rPr>
                <w:rFonts w:hint="eastAsia"/>
                <w:b/>
                <w:bCs/>
                <w:color w:val="auto"/>
                <w:highlight w:val="none"/>
              </w:rPr>
              <w:t>□</w:t>
            </w:r>
            <w:permEnd w:id="33"/>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1F7FC11">
            <w:pPr>
              <w:pStyle w:val="28"/>
              <w:spacing w:line="300" w:lineRule="auto"/>
              <w:ind w:firstLine="241" w:firstLineChars="100"/>
              <w:jc w:val="both"/>
              <w:rPr>
                <w:rFonts w:hint="eastAsia"/>
                <w:color w:val="auto"/>
                <w:highlight w:val="none"/>
                <w:lang w:val="zh-CN"/>
              </w:rPr>
            </w:pPr>
            <w:permStart w:id="34" w:edGrp="everyone"/>
            <w:r>
              <w:rPr>
                <w:rFonts w:hint="eastAsia"/>
                <w:b/>
                <w:bCs/>
                <w:color w:val="auto"/>
                <w:highlight w:val="none"/>
                <w:lang w:eastAsia="zh-CN"/>
              </w:rPr>
              <w:t>☑</w:t>
            </w:r>
            <w:permEnd w:id="34"/>
            <w:r>
              <w:rPr>
                <w:rFonts w:hint="eastAsia"/>
                <w:color w:val="auto"/>
                <w:highlight w:val="none"/>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75144733">
            <w:pPr>
              <w:pStyle w:val="28"/>
              <w:spacing w:line="300" w:lineRule="auto"/>
              <w:ind w:left="38"/>
              <w:jc w:val="center"/>
              <w:rPr>
                <w:rFonts w:hint="eastAsia"/>
                <w:color w:val="auto"/>
                <w:highlight w:val="none"/>
                <w:lang w:val="zh-CN"/>
              </w:rPr>
            </w:pPr>
            <w:r>
              <w:rPr>
                <w:rFonts w:hint="eastAsia"/>
                <w:color w:val="auto"/>
                <w:highlight w:val="none"/>
                <w:lang w:val="zh-CN"/>
              </w:rPr>
              <w:t>联合体询比</w:t>
            </w:r>
          </w:p>
        </w:tc>
        <w:tc>
          <w:tcPr>
            <w:tcW w:w="6496" w:type="dxa"/>
            <w:noWrap w:val="0"/>
            <w:vAlign w:val="center"/>
          </w:tcPr>
          <w:p w14:paraId="2EA6BE09">
            <w:pPr>
              <w:pStyle w:val="28"/>
              <w:spacing w:line="300" w:lineRule="auto"/>
              <w:ind w:firstLine="241" w:firstLineChars="100"/>
              <w:jc w:val="both"/>
              <w:rPr>
                <w:rFonts w:hint="eastAsia"/>
                <w:color w:val="auto"/>
                <w:highlight w:val="none"/>
                <w:lang w:val="zh-CN"/>
              </w:rPr>
            </w:pPr>
            <w:permStart w:id="35" w:edGrp="everyone"/>
            <w:r>
              <w:rPr>
                <w:rFonts w:hint="eastAsia"/>
                <w:b/>
                <w:bCs/>
                <w:color w:val="auto"/>
                <w:highlight w:val="none"/>
                <w:lang w:eastAsia="zh-CN"/>
              </w:rPr>
              <w:t>□</w:t>
            </w:r>
            <w:permEnd w:id="35"/>
            <w:r>
              <w:rPr>
                <w:rFonts w:hint="eastAsia"/>
                <w:color w:val="auto"/>
                <w:highlight w:val="none"/>
                <w:lang w:val="zh-CN"/>
              </w:rPr>
              <w:t xml:space="preserve">接受    </w:t>
            </w:r>
            <w:permStart w:id="36" w:edGrp="everyone"/>
            <w:r>
              <w:rPr>
                <w:rFonts w:hint="eastAsia"/>
                <w:b/>
                <w:bCs/>
                <w:color w:val="auto"/>
                <w:highlight w:val="none"/>
                <w:lang w:eastAsia="zh-CN"/>
              </w:rPr>
              <w:t>☑</w:t>
            </w:r>
            <w:permEnd w:id="36"/>
            <w:r>
              <w:rPr>
                <w:rFonts w:hint="eastAsia"/>
                <w:color w:val="auto"/>
                <w:highlight w:val="none"/>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7644DB54">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628A599">
            <w:pPr>
              <w:pStyle w:val="28"/>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14:paraId="7EC199B7">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466A5867">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4E2C5B0">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D4CEB02">
            <w:pPr>
              <w:pStyle w:val="28"/>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14:paraId="49009A3D">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14:paraId="12C049F4">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BC8B5FC">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permStart w:id="37" w:edGrp="everyone"/>
            <w:r>
              <w:rPr>
                <w:rFonts w:hint="eastAsia"/>
                <w:color w:val="auto"/>
                <w:highlight w:val="none"/>
                <w:u w:val="single"/>
              </w:rPr>
              <w:t xml:space="preserve"> </w:t>
            </w:r>
            <w:r>
              <w:rPr>
                <w:rFonts w:hint="eastAsia"/>
                <w:color w:val="auto"/>
                <w:highlight w:val="none"/>
                <w:u w:val="single"/>
                <w:lang w:val="en-US" w:eastAsia="zh-CN"/>
              </w:rPr>
              <w:t>0</w:t>
            </w:r>
            <w:r>
              <w:rPr>
                <w:rFonts w:hint="eastAsia"/>
                <w:color w:val="auto"/>
                <w:highlight w:val="none"/>
                <w:u w:val="single"/>
              </w:rPr>
              <w:t xml:space="preserve"> </w:t>
            </w:r>
            <w:permEnd w:id="37"/>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E897F9">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1366564">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51189502">
            <w:pPr>
              <w:pStyle w:val="28"/>
              <w:spacing w:line="300" w:lineRule="auto"/>
              <w:ind w:firstLine="240" w:firstLineChars="100"/>
              <w:rPr>
                <w:rFonts w:hint="eastAsia" w:eastAsia="宋体"/>
                <w:color w:val="auto"/>
                <w:highlight w:val="none"/>
                <w:lang w:val="en-US" w:eastAsia="zh-CN"/>
              </w:rPr>
            </w:pPr>
            <w:permStart w:id="38" w:edGrp="everyone"/>
            <w:r>
              <w:rPr>
                <w:rFonts w:hint="eastAsia"/>
                <w:color w:val="auto"/>
                <w:highlight w:val="none"/>
                <w:lang w:val="zh-CN"/>
              </w:rPr>
              <w:sym w:font="Wingdings 2" w:char="0052"/>
            </w:r>
            <w:permEnd w:id="38"/>
            <w:r>
              <w:rPr>
                <w:rFonts w:hint="eastAsia"/>
                <w:color w:val="auto"/>
                <w:highlight w:val="none"/>
                <w:lang w:val="zh-CN"/>
              </w:rPr>
              <w:t>综合评分法。</w:t>
            </w:r>
          </w:p>
          <w:p w14:paraId="138F608C">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73A499B8">
            <w:pPr>
              <w:pStyle w:val="28"/>
              <w:spacing w:line="300" w:lineRule="auto"/>
              <w:ind w:firstLine="240" w:firstLineChars="100"/>
              <w:rPr>
                <w:rFonts w:hint="eastAsia"/>
                <w:color w:val="auto"/>
                <w:highlight w:val="none"/>
                <w:lang w:val="zh-CN"/>
              </w:rPr>
            </w:pPr>
            <w:permStart w:id="39" w:edGrp="everyone"/>
            <w:r>
              <w:rPr>
                <w:rFonts w:hint="eastAsia"/>
                <w:color w:val="auto"/>
                <w:highlight w:val="none"/>
                <w:lang w:val="zh-CN"/>
              </w:rPr>
              <w:sym w:font="Wingdings 2" w:char="0052"/>
            </w:r>
            <w:permEnd w:id="39"/>
            <w:r>
              <w:rPr>
                <w:rFonts w:hint="eastAsia"/>
                <w:color w:val="auto"/>
                <w:highlight w:val="none"/>
                <w:lang w:val="en-US" w:eastAsia="zh-CN"/>
              </w:rPr>
              <w:t>固定单价</w:t>
            </w:r>
            <w:r>
              <w:rPr>
                <w:rFonts w:hint="eastAsia"/>
                <w:color w:val="auto"/>
                <w:highlight w:val="none"/>
                <w:lang w:val="zh-CN"/>
              </w:rPr>
              <w:t>。</w:t>
            </w:r>
          </w:p>
          <w:p w14:paraId="476C7D2E">
            <w:pPr>
              <w:pStyle w:val="28"/>
              <w:spacing w:line="300" w:lineRule="auto"/>
              <w:ind w:firstLine="240" w:firstLineChars="100"/>
              <w:rPr>
                <w:rFonts w:hint="eastAsia"/>
                <w:color w:val="auto"/>
                <w:highlight w:val="none"/>
                <w:lang w:val="zh-CN"/>
              </w:rPr>
            </w:pPr>
            <w:permStart w:id="40" w:edGrp="everyone"/>
            <w:r>
              <w:rPr>
                <w:rFonts w:hint="eastAsia"/>
                <w:color w:val="auto"/>
                <w:highlight w:val="none"/>
                <w:lang w:val="zh-CN"/>
              </w:rPr>
              <w:sym w:font="Wingdings 2" w:char="00A3"/>
            </w:r>
            <w:permEnd w:id="40"/>
            <w:r>
              <w:rPr>
                <w:rFonts w:hint="eastAsia"/>
                <w:color w:val="auto"/>
                <w:highlight w:val="none"/>
                <w:lang w:val="en-US" w:eastAsia="zh-CN"/>
              </w:rPr>
              <w:t>总</w:t>
            </w:r>
            <w:r>
              <w:rPr>
                <w:rFonts w:hint="eastAsia"/>
                <w:color w:val="auto"/>
                <w:highlight w:val="none"/>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0D7AF6">
            <w:pPr>
              <w:pStyle w:val="28"/>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14:paraId="1D4A32B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7B9E690">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721E5017">
            <w:pPr>
              <w:pStyle w:val="28"/>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14:paraId="5C470A1D">
            <w:pPr>
              <w:pStyle w:val="28"/>
              <w:spacing w:line="300" w:lineRule="auto"/>
              <w:ind w:firstLine="240" w:firstLineChars="100"/>
              <w:jc w:val="both"/>
              <w:rPr>
                <w:rFonts w:hint="eastAsia"/>
                <w:color w:val="auto"/>
                <w:highlight w:val="none"/>
                <w:lang w:bidi="ar"/>
              </w:rPr>
            </w:pPr>
            <w:permStart w:id="41"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u w:val="single"/>
                <w:lang w:bidi="ar"/>
              </w:rPr>
              <w:t xml:space="preserve">  </w:t>
            </w:r>
            <w:r>
              <w:rPr>
                <w:rFonts w:hint="eastAsia"/>
                <w:color w:val="auto"/>
                <w:highlight w:val="none"/>
                <w:u w:val="single"/>
                <w:lang w:val="en-US" w:eastAsia="zh-CN" w:bidi="ar"/>
              </w:rPr>
              <w:t>/</w:t>
            </w:r>
            <w:r>
              <w:rPr>
                <w:rFonts w:hint="eastAsia"/>
                <w:color w:val="auto"/>
                <w:highlight w:val="none"/>
                <w:u w:val="single"/>
                <w:lang w:bidi="ar"/>
              </w:rPr>
              <w:t xml:space="preserve">  </w:t>
            </w:r>
            <w:r>
              <w:rPr>
                <w:rFonts w:hint="eastAsia"/>
                <w:color w:val="auto"/>
                <w:highlight w:val="none"/>
                <w:lang w:bidi="ar"/>
              </w:rPr>
              <w:t>元（大写：</w:t>
            </w:r>
            <w:r>
              <w:rPr>
                <w:rFonts w:hint="eastAsia"/>
                <w:color w:val="auto"/>
                <w:highlight w:val="none"/>
                <w:u w:val="single"/>
                <w:lang w:bidi="ar"/>
              </w:rPr>
              <w:t xml:space="preserve"> </w:t>
            </w:r>
            <w:r>
              <w:rPr>
                <w:rFonts w:hint="eastAsia"/>
                <w:color w:val="auto"/>
                <w:highlight w:val="none"/>
                <w:u w:val="single"/>
                <w:lang w:val="en-US" w:eastAsia="zh-CN" w:bidi="ar"/>
              </w:rPr>
              <w:t>/</w:t>
            </w:r>
            <w:r>
              <w:rPr>
                <w:rFonts w:hint="eastAsia"/>
                <w:color w:val="auto"/>
                <w:highlight w:val="none"/>
                <w:u w:val="single"/>
                <w:lang w:bidi="ar"/>
              </w:rPr>
              <w:t xml:space="preserve">   </w:t>
            </w:r>
            <w:r>
              <w:rPr>
                <w:rFonts w:hint="eastAsia"/>
                <w:color w:val="auto"/>
                <w:highlight w:val="none"/>
                <w:lang w:bidi="ar"/>
              </w:rPr>
              <w:t>整）</w:t>
            </w:r>
          </w:p>
          <w:p w14:paraId="79E5335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rPr>
              <w:t>1</w:t>
            </w:r>
            <w:r>
              <w:rPr>
                <w:rFonts w:hint="eastAsia"/>
                <w:color w:val="auto"/>
                <w:highlight w:val="none"/>
                <w:lang w:val="zh-CN"/>
              </w:rPr>
              <w:t>%）。</w:t>
            </w:r>
          </w:p>
          <w:p w14:paraId="26270A03">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610D41F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w:t>
            </w:r>
            <w:r>
              <w:rPr>
                <w:rFonts w:hint="eastAsia"/>
                <w:color w:val="auto"/>
                <w:highlight w:val="none"/>
                <w:lang w:val="zh-CN"/>
              </w:rPr>
              <w:t>。</w:t>
            </w:r>
          </w:p>
          <w:p w14:paraId="4EFFC63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s="宋体"/>
                <w:color w:val="auto"/>
                <w:highlight w:val="none"/>
                <w:lang w:val="en-US" w:eastAsia="zh-CN"/>
              </w:rPr>
              <w:t>/</w:t>
            </w:r>
            <w:r>
              <w:rPr>
                <w:rFonts w:hint="eastAsia"/>
                <w:color w:val="auto"/>
                <w:highlight w:val="none"/>
                <w:lang w:val="zh-CN"/>
              </w:rPr>
              <w:t>。</w:t>
            </w:r>
          </w:p>
          <w:p w14:paraId="66B9C42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en-US" w:eastAsia="zh-CN"/>
              </w:rPr>
              <w:t>/</w:t>
            </w:r>
            <w:r>
              <w:rPr>
                <w:rFonts w:hint="eastAsia"/>
                <w:color w:val="auto"/>
                <w:highlight w:val="none"/>
                <w:lang w:val="zh-CN"/>
              </w:rPr>
              <w:t>。</w:t>
            </w:r>
          </w:p>
          <w:p w14:paraId="328DF1E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14:paraId="18A1C6D4">
            <w:pPr>
              <w:pStyle w:val="28"/>
              <w:spacing w:line="300" w:lineRule="auto"/>
              <w:ind w:firstLine="240" w:firstLineChars="100"/>
              <w:jc w:val="both"/>
              <w:rPr>
                <w:rFonts w:hint="eastAsia"/>
                <w:color w:val="auto"/>
                <w:highlight w:val="yellow"/>
              </w:rPr>
            </w:pPr>
            <w:r>
              <w:rPr>
                <w:rFonts w:hint="eastAsia"/>
                <w:color w:val="auto"/>
                <w:highlight w:val="none"/>
                <w:lang w:val="zh-CN"/>
              </w:rPr>
              <w:t>联系人：</w:t>
            </w:r>
            <w:r>
              <w:rPr>
                <w:rFonts w:hint="eastAsia"/>
                <w:color w:val="auto"/>
                <w:highlight w:val="none"/>
                <w:lang w:val="en-US" w:eastAsia="zh-CN"/>
              </w:rPr>
              <w:t>赵女士</w:t>
            </w:r>
            <w:r>
              <w:rPr>
                <w:rFonts w:hint="eastAsia"/>
                <w:color w:val="auto"/>
                <w:highlight w:val="none"/>
              </w:rPr>
              <w:t xml:space="preserve">      </w:t>
            </w:r>
          </w:p>
          <w:p w14:paraId="0F5D76B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0830-6664283</w:t>
            </w:r>
            <w:r>
              <w:rPr>
                <w:rFonts w:hint="eastAsia"/>
                <w:color w:val="auto"/>
                <w:highlight w:val="none"/>
              </w:rPr>
              <w:t xml:space="preserve">   </w:t>
            </w:r>
          </w:p>
          <w:p w14:paraId="0AA3C53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ermEnd w:id="41"/>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18EF60B">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75C6757">
            <w:pPr>
              <w:pStyle w:val="28"/>
              <w:spacing w:line="300" w:lineRule="auto"/>
              <w:ind w:left="694" w:leftChars="102" w:hanging="480" w:hangingChars="200"/>
              <w:rPr>
                <w:rFonts w:hint="eastAsia"/>
                <w:color w:val="auto"/>
                <w:highlight w:val="none"/>
              </w:rPr>
            </w:pPr>
            <w:permStart w:id="42" w:edGrp="everyone"/>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692FB80">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5000元 ，大写：伍仟元整 。</w:t>
            </w:r>
          </w:p>
          <w:p w14:paraId="4F579DAE">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505C41A">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029B1C8C">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5B52A63">
            <w:pPr>
              <w:pStyle w:val="28"/>
              <w:spacing w:line="300" w:lineRule="auto"/>
              <w:ind w:firstLine="240" w:firstLineChars="100"/>
              <w:jc w:val="both"/>
              <w:rPr>
                <w:rFonts w:hint="eastAsia" w:ascii="宋体" w:hAnsi="宋体" w:eastAsia="宋体" w:cs="宋体"/>
                <w:color w:val="auto"/>
                <w:kern w:val="0"/>
                <w:sz w:val="24"/>
                <w:szCs w:val="24"/>
                <w:highlight w:val="none"/>
                <w:lang w:val="zh-CN" w:eastAsia="zh-CN" w:bidi="ar-SA"/>
              </w:rPr>
            </w:pPr>
            <w:r>
              <w:rPr>
                <w:rFonts w:hint="eastAsia"/>
                <w:color w:val="auto"/>
                <w:highlight w:val="none"/>
                <w:lang w:val="zh-CN"/>
              </w:rPr>
              <w:t>收款单位：</w:t>
            </w:r>
            <w:r>
              <w:rPr>
                <w:rFonts w:hint="eastAsia" w:ascii="宋体" w:hAnsi="宋体" w:eastAsia="宋体" w:cs="宋体"/>
                <w:color w:val="auto"/>
                <w:kern w:val="0"/>
                <w:sz w:val="24"/>
                <w:szCs w:val="24"/>
                <w:highlight w:val="none"/>
                <w:lang w:val="en-US" w:eastAsia="zh-CN" w:bidi="ar-SA"/>
              </w:rPr>
              <w:t>泸州市锦阳保安服务有限公司</w:t>
            </w:r>
            <w:r>
              <w:rPr>
                <w:rFonts w:hint="eastAsia" w:ascii="宋体" w:hAnsi="宋体" w:eastAsia="宋体" w:cs="宋体"/>
                <w:color w:val="auto"/>
                <w:kern w:val="0"/>
                <w:sz w:val="24"/>
                <w:szCs w:val="24"/>
                <w:highlight w:val="none"/>
                <w:lang w:val="zh-CN" w:eastAsia="zh-CN" w:bidi="ar-SA"/>
              </w:rPr>
              <w:t>。</w:t>
            </w:r>
          </w:p>
          <w:p w14:paraId="20F080E2">
            <w:pPr>
              <w:pStyle w:val="28"/>
              <w:spacing w:line="300" w:lineRule="auto"/>
              <w:ind w:firstLine="240" w:firstLineChars="1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开 户 行：</w:t>
            </w:r>
            <w:r>
              <w:rPr>
                <w:rFonts w:hint="eastAsia" w:ascii="宋体" w:hAnsi="宋体" w:eastAsia="宋体" w:cs="宋体"/>
                <w:color w:val="auto"/>
                <w:kern w:val="0"/>
                <w:sz w:val="24"/>
                <w:szCs w:val="24"/>
                <w:highlight w:val="none"/>
                <w:lang w:val="en-US" w:eastAsia="zh-CN" w:bidi="ar-SA"/>
              </w:rPr>
              <w:t>成都银行股份有限公司泸州分行</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 xml:space="preserve">  </w:t>
            </w:r>
          </w:p>
          <w:p w14:paraId="7E0B45B1">
            <w:pPr>
              <w:pStyle w:val="28"/>
              <w:spacing w:line="300" w:lineRule="auto"/>
              <w:ind w:firstLine="240" w:firstLineChars="100"/>
              <w:jc w:val="both"/>
              <w:rPr>
                <w:rFonts w:hint="eastAsia"/>
                <w:color w:val="auto"/>
                <w:highlight w:val="none"/>
                <w:lang w:val="zh-CN"/>
              </w:rPr>
            </w:pPr>
            <w:r>
              <w:rPr>
                <w:rFonts w:hint="eastAsia" w:ascii="宋体" w:hAnsi="宋体" w:eastAsia="宋体" w:cs="宋体"/>
                <w:color w:val="auto"/>
                <w:kern w:val="0"/>
                <w:sz w:val="24"/>
                <w:szCs w:val="24"/>
                <w:highlight w:val="none"/>
                <w:lang w:val="zh-CN" w:eastAsia="zh-CN" w:bidi="ar-SA"/>
              </w:rPr>
              <w:t>银行账号：</w:t>
            </w:r>
            <w:r>
              <w:rPr>
                <w:rFonts w:hint="eastAsia" w:ascii="宋体" w:hAnsi="宋体" w:eastAsia="宋体" w:cs="宋体"/>
                <w:color w:val="auto"/>
                <w:kern w:val="0"/>
                <w:sz w:val="24"/>
                <w:szCs w:val="24"/>
                <w:highlight w:val="none"/>
                <w:lang w:val="en-US" w:eastAsia="zh-CN" w:bidi="ar-SA"/>
              </w:rPr>
              <w:t>1101 3000 0097 9973</w:t>
            </w:r>
            <w:r>
              <w:rPr>
                <w:rFonts w:hint="eastAsia" w:ascii="宋体" w:hAnsi="宋体" w:eastAsia="宋体" w:cs="宋体"/>
                <w:color w:val="auto"/>
                <w:kern w:val="0"/>
                <w:sz w:val="24"/>
                <w:szCs w:val="24"/>
                <w:highlight w:val="none"/>
                <w:lang w:val="zh-CN" w:eastAsia="zh-CN" w:bidi="ar-SA"/>
              </w:rPr>
              <w:t>。</w:t>
            </w:r>
          </w:p>
          <w:p w14:paraId="02984A9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ermEnd w:id="42"/>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F293F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03F5C1F9">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69BE485">
            <w:pPr>
              <w:pStyle w:val="28"/>
              <w:spacing w:line="300" w:lineRule="auto"/>
              <w:ind w:firstLine="241" w:firstLineChars="100"/>
              <w:jc w:val="both"/>
              <w:rPr>
                <w:rFonts w:hint="eastAsia"/>
                <w:color w:val="auto"/>
                <w:highlight w:val="none"/>
                <w:lang w:val="zh-CN"/>
              </w:rPr>
            </w:pPr>
            <w:permStart w:id="43" w:edGrp="everyone"/>
            <w:r>
              <w:rPr>
                <w:rFonts w:hint="eastAsia"/>
                <w:b/>
                <w:bCs/>
                <w:color w:val="auto"/>
                <w:highlight w:val="none"/>
                <w:lang w:eastAsia="zh-CN"/>
              </w:rPr>
              <w:t>☑</w:t>
            </w:r>
            <w:permEnd w:id="43"/>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28"/>
              <w:spacing w:line="300" w:lineRule="auto"/>
              <w:ind w:firstLine="241" w:firstLineChars="100"/>
              <w:jc w:val="both"/>
              <w:rPr>
                <w:rFonts w:hint="eastAsia"/>
                <w:color w:val="auto"/>
                <w:highlight w:val="none"/>
                <w:lang w:val="zh-CN"/>
              </w:rPr>
            </w:pPr>
            <w:permStart w:id="44" w:edGrp="everyone"/>
            <w:r>
              <w:rPr>
                <w:rFonts w:hint="eastAsia"/>
                <w:b/>
                <w:bCs/>
                <w:color w:val="auto"/>
                <w:highlight w:val="none"/>
                <w:lang w:eastAsia="zh-CN"/>
              </w:rPr>
              <w:t>□</w:t>
            </w:r>
            <w:permEnd w:id="44"/>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DAD1475">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B5FC6B3">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0DD710E">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45" w:edGrp="everyone"/>
            <w:r>
              <w:rPr>
                <w:bCs/>
                <w:color w:val="auto"/>
                <w:sz w:val="24"/>
                <w:highlight w:val="none"/>
                <w:u w:val="none"/>
              </w:rPr>
              <w:t>泸州市江阳区张坝桂圆林西门综合楼</w:t>
            </w:r>
            <w:permEnd w:id="45"/>
            <w:r>
              <w:rPr>
                <w:rFonts w:hint="eastAsia" w:cs="宋体"/>
                <w:color w:val="auto"/>
                <w:sz w:val="24"/>
                <w:szCs w:val="24"/>
                <w:highlight w:val="none"/>
                <w:lang w:val="zh-CN" w:bidi="ar"/>
              </w:rPr>
              <w:t>领取成交通知书。</w:t>
            </w:r>
          </w:p>
          <w:p w14:paraId="3ACE6152">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46" w:edGrp="everyone"/>
            <w:r>
              <w:rPr>
                <w:rFonts w:hint="eastAsia" w:ascii="宋体" w:hAnsi="宋体" w:cs="宋体"/>
                <w:color w:val="auto"/>
                <w:kern w:val="0"/>
                <w:sz w:val="24"/>
                <w:highlight w:val="none"/>
                <w:lang w:val="en-US" w:eastAsia="zh-CN"/>
              </w:rPr>
              <w:t>赵女士</w:t>
            </w:r>
            <w:permEnd w:id="46"/>
          </w:p>
          <w:p w14:paraId="213E48E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47" w:edGrp="everyone"/>
            <w:r>
              <w:rPr>
                <w:rFonts w:hint="eastAsia"/>
                <w:color w:val="auto"/>
                <w:highlight w:val="none"/>
                <w:lang w:val="en-US" w:eastAsia="zh-CN"/>
              </w:rPr>
              <w:t>0830-6664283</w:t>
            </w:r>
            <w:permEnd w:id="47"/>
            <w:r>
              <w:rPr>
                <w:rFonts w:hint="eastAsia"/>
                <w:color w:val="auto"/>
                <w:highlight w:val="none"/>
                <w:lang w:val="zh-CN"/>
              </w:rPr>
              <w:t>。</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F87286E">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79927C2">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E1DCE41">
            <w:pPr>
              <w:pStyle w:val="28"/>
              <w:spacing w:line="300" w:lineRule="auto"/>
              <w:jc w:val="both"/>
              <w:rPr>
                <w:rFonts w:hint="eastAsia"/>
                <w:color w:val="auto"/>
                <w:highlight w:val="none"/>
              </w:rPr>
            </w:pPr>
            <w:r>
              <w:rPr>
                <w:rFonts w:hint="eastAsia"/>
                <w:color w:val="auto"/>
                <w:highlight w:val="none"/>
                <w:lang w:val="zh-CN"/>
              </w:rPr>
              <w:t xml:space="preserve">    联系人：</w:t>
            </w:r>
            <w:permStart w:id="48" w:edGrp="everyone"/>
            <w:r>
              <w:rPr>
                <w:rFonts w:hint="eastAsia" w:ascii="宋体" w:hAnsi="宋体" w:cs="宋体"/>
                <w:color w:val="auto"/>
                <w:kern w:val="0"/>
                <w:sz w:val="24"/>
                <w:highlight w:val="none"/>
                <w:lang w:val="en-US" w:eastAsia="zh-CN"/>
              </w:rPr>
              <w:t>赵女士</w:t>
            </w:r>
            <w:permEnd w:id="48"/>
            <w:r>
              <w:rPr>
                <w:rFonts w:hint="eastAsia"/>
                <w:color w:val="auto"/>
                <w:highlight w:val="none"/>
              </w:rPr>
              <w:t>。</w:t>
            </w:r>
          </w:p>
          <w:p w14:paraId="7989AB92">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permStart w:id="49" w:edGrp="everyone"/>
            <w:r>
              <w:rPr>
                <w:rFonts w:hint="eastAsia"/>
                <w:color w:val="auto"/>
                <w:highlight w:val="none"/>
                <w:lang w:val="en-US" w:eastAsia="zh-CN"/>
              </w:rPr>
              <w:t>0830-6664283</w:t>
            </w:r>
            <w:permEnd w:id="49"/>
            <w:r>
              <w:rPr>
                <w:rFonts w:hint="eastAsia"/>
                <w:color w:val="auto"/>
                <w:highlight w:val="none"/>
                <w:lang w:val="zh-CN"/>
              </w:rPr>
              <w:t>。</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3C00D1A">
            <w:pPr>
              <w:pStyle w:val="28"/>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询比过程、询比结果的质疑负责答复。</w:t>
            </w:r>
          </w:p>
          <w:p w14:paraId="1BA5EB87">
            <w:pPr>
              <w:pStyle w:val="28"/>
              <w:spacing w:line="300" w:lineRule="auto"/>
              <w:ind w:firstLine="240" w:firstLineChars="100"/>
              <w:rPr>
                <w:rFonts w:hint="eastAsia"/>
                <w:color w:val="auto"/>
                <w:highlight w:val="none"/>
              </w:rPr>
            </w:pPr>
            <w:r>
              <w:rPr>
                <w:rFonts w:hint="eastAsia"/>
                <w:color w:val="auto"/>
                <w:highlight w:val="none"/>
                <w:lang w:val="zh-CN"/>
              </w:rPr>
              <w:t>联 系 人：</w:t>
            </w:r>
            <w:permStart w:id="50" w:edGrp="everyone"/>
            <w:r>
              <w:rPr>
                <w:rFonts w:hint="eastAsia"/>
                <w:color w:val="auto"/>
                <w:highlight w:val="none"/>
                <w:lang w:val="en-US" w:eastAsia="zh-CN"/>
              </w:rPr>
              <w:t>赵女士</w:t>
            </w:r>
            <w:permEnd w:id="50"/>
          </w:p>
          <w:p w14:paraId="6DD8B058">
            <w:pPr>
              <w:pStyle w:val="28"/>
              <w:spacing w:line="300" w:lineRule="auto"/>
              <w:ind w:firstLine="240" w:firstLineChars="100"/>
              <w:rPr>
                <w:rFonts w:hint="eastAsia"/>
                <w:color w:val="auto"/>
                <w:highlight w:val="none"/>
              </w:rPr>
            </w:pPr>
            <w:r>
              <w:rPr>
                <w:rFonts w:hint="eastAsia"/>
                <w:color w:val="auto"/>
                <w:highlight w:val="none"/>
                <w:lang w:val="zh-CN"/>
              </w:rPr>
              <w:t>联系电话：</w:t>
            </w:r>
            <w:permStart w:id="51" w:edGrp="everyone"/>
            <w:r>
              <w:rPr>
                <w:rFonts w:hint="eastAsia"/>
                <w:color w:val="auto"/>
                <w:highlight w:val="none"/>
                <w:lang w:val="en-US" w:eastAsia="zh-CN"/>
              </w:rPr>
              <w:t>0830-6664283</w:t>
            </w:r>
            <w:permEnd w:id="51"/>
            <w:r>
              <w:rPr>
                <w:rFonts w:hint="eastAsia"/>
                <w:color w:val="auto"/>
                <w:highlight w:val="none"/>
              </w:rPr>
              <w:t xml:space="preserve"> </w:t>
            </w:r>
          </w:p>
          <w:p w14:paraId="31790468">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BBD844">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投诉受理单位：泸州裕阳投资发展有限公司。</w:t>
            </w:r>
          </w:p>
          <w:p w14:paraId="62122B5F">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permStart w:id="52" w:edGrp="everyone"/>
            <w:r>
              <w:rPr>
                <w:rFonts w:hint="eastAsia"/>
                <w:color w:val="auto"/>
                <w:highlight w:val="none"/>
                <w:lang w:val="zh-CN"/>
              </w:rPr>
              <w:t>郭先生</w:t>
            </w:r>
            <w:permEnd w:id="52"/>
            <w:r>
              <w:rPr>
                <w:rFonts w:hint="eastAsia" w:eastAsia="宋体"/>
                <w:color w:val="auto"/>
                <w:highlight w:val="none"/>
                <w:lang w:val="zh-CN"/>
              </w:rPr>
              <w:t>。</w:t>
            </w:r>
          </w:p>
          <w:p w14:paraId="355E8DFF">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w:t>
            </w:r>
            <w:permStart w:id="53" w:edGrp="everyone"/>
            <w:r>
              <w:rPr>
                <w:rFonts w:hint="eastAsia" w:eastAsia="宋体"/>
                <w:color w:val="auto"/>
                <w:highlight w:val="none"/>
                <w:lang w:val="zh-CN"/>
              </w:rPr>
              <w:t>0830-</w:t>
            </w:r>
            <w:r>
              <w:rPr>
                <w:rFonts w:hint="eastAsia" w:eastAsia="宋体"/>
                <w:color w:val="auto"/>
                <w:highlight w:val="none"/>
                <w:lang w:val="zh-CN" w:eastAsia="zh-CN"/>
              </w:rPr>
              <w:t>652</w:t>
            </w:r>
            <w:r>
              <w:rPr>
                <w:rFonts w:hint="eastAsia"/>
                <w:color w:val="auto"/>
                <w:highlight w:val="none"/>
                <w:lang w:val="en-US" w:eastAsia="zh-CN"/>
              </w:rPr>
              <w:t>2163</w:t>
            </w:r>
            <w:permEnd w:id="53"/>
            <w:r>
              <w:rPr>
                <w:rFonts w:hint="eastAsia" w:eastAsia="宋体"/>
                <w:color w:val="auto"/>
                <w:highlight w:val="none"/>
                <w:lang w:val="zh-CN"/>
              </w:rPr>
              <w:t>。</w:t>
            </w:r>
          </w:p>
          <w:p w14:paraId="29F49065">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sz w:val="24"/>
                <w:highlight w:val="none"/>
              </w:rPr>
              <w:t xml:space="preserve"> </w:t>
            </w:r>
            <w:permStart w:id="54" w:edGrp="everyone"/>
            <w:r>
              <w:rPr>
                <w:rFonts w:hint="eastAsia" w:ascii="宋体" w:hAnsi="宋体" w:cs="宋体"/>
                <w:color w:val="auto"/>
                <w:kern w:val="0"/>
                <w:sz w:val="24"/>
                <w:highlight w:val="none"/>
              </w:rPr>
              <w:t>江阳区张坝桂圆林西大门综合楼</w:t>
            </w:r>
            <w:permEnd w:id="54"/>
            <w:r>
              <w:rPr>
                <w:rFonts w:hint="eastAsia" w:ascii="宋体" w:hAnsi="宋体" w:cs="宋体"/>
                <w:color w:val="auto"/>
                <w:sz w:val="24"/>
                <w:highlight w:val="none"/>
                <w:lang w:val="zh-CN"/>
              </w:rPr>
              <w:t>。</w:t>
            </w:r>
          </w:p>
          <w:p w14:paraId="0A22DEC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5B5180F">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28"/>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ind w:firstLine="240" w:firstLineChars="100"/>
              <w:rPr>
                <w:rFonts w:hint="eastAsia" w:ascii="宋体" w:hAnsi="宋体" w:cs="宋体"/>
                <w:color w:val="auto"/>
                <w:sz w:val="24"/>
                <w:highlight w:val="none"/>
                <w:lang w:val="zh-CN"/>
              </w:rPr>
            </w:pPr>
            <w:permStart w:id="55" w:edGrp="everyone"/>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lang w:val="zh-CN"/>
              </w:rPr>
              <w:t>时</w:t>
            </w:r>
            <w:permEnd w:id="55"/>
            <w:r>
              <w:rPr>
                <w:rFonts w:hint="eastAsia" w:ascii="宋体" w:hAnsi="宋体" w:cs="宋体"/>
                <w:color w:val="auto"/>
                <w:kern w:val="0"/>
                <w:sz w:val="24"/>
                <w:highlight w:val="none"/>
                <w:lang w:val="zh-CN"/>
              </w:rPr>
              <w:t>（北京时间）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permStart w:id="56" w:edGrp="everyone"/>
            <w:r>
              <w:rPr>
                <w:rFonts w:hint="eastAsia" w:ascii="宋体" w:hAnsi="宋体" w:cs="宋体"/>
                <w:color w:val="auto"/>
                <w:sz w:val="24"/>
                <w:highlight w:val="none"/>
                <w:lang w:val="en-US" w:eastAsia="zh-CN"/>
              </w:rPr>
              <w:t>3</w:t>
            </w:r>
            <w:r>
              <w:rPr>
                <w:rFonts w:hint="eastAsia" w:ascii="宋体" w:hAnsi="宋体" w:cs="宋体"/>
                <w:color w:val="auto"/>
                <w:sz w:val="24"/>
                <w:highlight w:val="none"/>
              </w:rPr>
              <w:t>天</w:t>
            </w:r>
            <w:permEnd w:id="56"/>
            <w:r>
              <w:rPr>
                <w:rFonts w:hint="eastAsia" w:ascii="宋体" w:hAnsi="宋体" w:cs="宋体"/>
                <w:color w:val="auto"/>
                <w:sz w:val="24"/>
                <w:highlight w:val="none"/>
              </w:rPr>
              <w:t>内签订合同；否则，视为成交供应商放弃成交，没收保证金，</w:t>
            </w:r>
            <w:r>
              <w:rPr>
                <w:rFonts w:hint="eastAsia" w:ascii="宋体" w:hAnsi="宋体" w:cs="宋体"/>
                <w:color w:val="auto"/>
                <w:sz w:val="24"/>
                <w:highlight w:val="none"/>
                <w:lang w:eastAsia="zh-CN"/>
              </w:rPr>
              <w:t>询比</w:t>
            </w:r>
            <w:r>
              <w:rPr>
                <w:rFonts w:hint="eastAsia" w:ascii="宋体" w:hAnsi="宋体" w:cs="宋体"/>
                <w:color w:val="auto"/>
                <w:sz w:val="24"/>
                <w:highlight w:val="none"/>
              </w:rPr>
              <w:t>人另行确定成交人或重新</w:t>
            </w:r>
            <w:r>
              <w:rPr>
                <w:rFonts w:hint="eastAsia" w:ascii="宋体" w:hAnsi="宋体" w:cs="宋体"/>
                <w:color w:val="auto"/>
                <w:sz w:val="24"/>
                <w:highlight w:val="none"/>
                <w:lang w:eastAsia="zh-CN"/>
              </w:rPr>
              <w:t>询比</w:t>
            </w:r>
            <w:r>
              <w:rPr>
                <w:rFonts w:hint="eastAsia" w:ascii="宋体" w:hAnsi="宋体" w:cs="宋体"/>
                <w:color w:val="auto"/>
                <w:sz w:val="24"/>
                <w:highlight w:val="none"/>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28"/>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57" w:edGrp="everyone"/>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10日</w:t>
            </w:r>
            <w:r>
              <w:rPr>
                <w:rFonts w:hint="eastAsia" w:ascii="宋体" w:hAnsi="宋体" w:cs="宋体"/>
                <w:color w:val="auto"/>
                <w:sz w:val="24"/>
                <w:highlight w:val="none"/>
              </w:rPr>
              <w:t xml:space="preserve">  </w:t>
            </w:r>
            <w:permEnd w:id="57"/>
            <w:r>
              <w:rPr>
                <w:rFonts w:hint="eastAsia" w:ascii="宋体" w:hAnsi="宋体" w:cs="宋体"/>
                <w:color w:val="auto"/>
                <w:sz w:val="24"/>
                <w:highlight w:val="none"/>
              </w:rPr>
              <w:t>内完成。</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28"/>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highlight w:val="none"/>
                <w:lang w:val="zh-CN"/>
              </w:rPr>
            </w:pPr>
            <w:permStart w:id="58" w:edGrp="everyone"/>
            <w:r>
              <w:rPr>
                <w:rFonts w:hint="eastAsia" w:ascii="宋体" w:hAnsi="宋体" w:cs="宋体"/>
                <w:color w:val="auto"/>
                <w:sz w:val="24"/>
                <w:highlight w:val="none"/>
                <w:lang w:val="zh-CN"/>
              </w:rPr>
              <w:t>泸州市江阳区张坝桂圆林西门综合楼2楼F02会议室</w:t>
            </w:r>
            <w:permEnd w:id="58"/>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28"/>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highlight w:val="none"/>
              </w:rPr>
            </w:pPr>
            <w:permStart w:id="59" w:edGrp="everyone"/>
            <w:r>
              <w:rPr>
                <w:rFonts w:hint="eastAsia" w:ascii="宋体" w:hAnsi="宋体" w:cs="宋体"/>
                <w:b/>
                <w:bCs/>
                <w:color w:val="auto"/>
                <w:sz w:val="24"/>
                <w:highlight w:val="none"/>
                <w:lang w:eastAsia="zh-CN"/>
              </w:rPr>
              <w:t>☑</w:t>
            </w:r>
            <w:permEnd w:id="59"/>
            <w:r>
              <w:rPr>
                <w:rFonts w:hint="eastAsia" w:ascii="宋体" w:hAnsi="宋体" w:cs="宋体"/>
                <w:color w:val="auto"/>
                <w:sz w:val="24"/>
                <w:highlight w:val="none"/>
              </w:rPr>
              <w:t>响应文件</w:t>
            </w:r>
            <w:r>
              <w:rPr>
                <w:rFonts w:hint="eastAsia" w:ascii="宋体" w:hAnsi="宋体" w:cs="宋体"/>
                <w:b/>
                <w:bCs/>
                <w:color w:val="auto"/>
                <w:sz w:val="24"/>
                <w:highlight w:val="none"/>
              </w:rPr>
              <w:t>正本</w:t>
            </w:r>
            <w:permStart w:id="60" w:edGrp="everyone"/>
            <w:r>
              <w:rPr>
                <w:rFonts w:hint="eastAsia" w:ascii="宋体" w:hAnsi="宋体" w:cs="宋体"/>
                <w:b/>
                <w:bCs/>
                <w:color w:val="auto"/>
                <w:sz w:val="24"/>
                <w:highlight w:val="none"/>
              </w:rPr>
              <w:t>1</w:t>
            </w:r>
            <w:permEnd w:id="60"/>
            <w:r>
              <w:rPr>
                <w:rFonts w:hint="eastAsia" w:ascii="宋体" w:hAnsi="宋体" w:cs="宋体"/>
                <w:b/>
                <w:bCs/>
                <w:color w:val="auto"/>
                <w:sz w:val="24"/>
                <w:highlight w:val="none"/>
              </w:rPr>
              <w:t>份，副本</w:t>
            </w:r>
            <w:permStart w:id="61" w:edGrp="everyone"/>
            <w:r>
              <w:rPr>
                <w:rFonts w:hint="eastAsia" w:ascii="宋体" w:hAnsi="宋体" w:cs="宋体"/>
                <w:b/>
                <w:bCs/>
                <w:color w:val="auto"/>
                <w:sz w:val="24"/>
                <w:highlight w:val="none"/>
                <w:lang w:val="en-US" w:eastAsia="zh-CN"/>
              </w:rPr>
              <w:t>1</w:t>
            </w:r>
            <w:permEnd w:id="61"/>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2C63276">
            <w:pPr>
              <w:pStyle w:val="28"/>
              <w:spacing w:line="312" w:lineRule="auto"/>
              <w:ind w:firstLine="241" w:firstLineChars="100"/>
              <w:rPr>
                <w:rFonts w:hint="eastAsia"/>
                <w:color w:val="auto"/>
                <w:highlight w:val="none"/>
                <w:lang w:val="zh-CN"/>
              </w:rPr>
            </w:pPr>
            <w:permStart w:id="62" w:edGrp="everyone"/>
            <w:r>
              <w:rPr>
                <w:rFonts w:hint="eastAsia"/>
                <w:b/>
                <w:bCs/>
                <w:color w:val="auto"/>
                <w:highlight w:val="none"/>
              </w:rPr>
              <w:t>□</w:t>
            </w:r>
            <w:permEnd w:id="62"/>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785EF4C2">
            <w:pPr>
              <w:pStyle w:val="28"/>
              <w:spacing w:line="312" w:lineRule="auto"/>
              <w:ind w:firstLine="241" w:firstLineChars="100"/>
              <w:rPr>
                <w:rFonts w:hint="eastAsia"/>
                <w:color w:val="auto"/>
                <w:highlight w:val="none"/>
                <w:lang w:val="zh-CN"/>
              </w:rPr>
            </w:pPr>
            <w:permStart w:id="63" w:edGrp="everyone"/>
            <w:r>
              <w:rPr>
                <w:rFonts w:hint="eastAsia"/>
                <w:b/>
                <w:bCs/>
                <w:color w:val="auto"/>
                <w:highlight w:val="none"/>
              </w:rPr>
              <w:t>□</w:t>
            </w:r>
            <w:permEnd w:id="63"/>
            <w:r>
              <w:rPr>
                <w:rFonts w:hint="eastAsia"/>
                <w:color w:val="auto"/>
                <w:kern w:val="2"/>
                <w:highlight w:val="none"/>
              </w:rPr>
              <w:t>电子文档U盘或光盘1份（</w:t>
            </w:r>
            <w:permStart w:id="64" w:edGrp="everyone"/>
            <w:r>
              <w:rPr>
                <w:rFonts w:hint="eastAsia"/>
                <w:color w:val="auto"/>
                <w:kern w:val="2"/>
                <w:highlight w:val="none"/>
              </w:rPr>
              <w:t>内含按</w:t>
            </w:r>
            <w:r>
              <w:rPr>
                <w:rFonts w:hint="eastAsia"/>
                <w:color w:val="auto"/>
                <w:kern w:val="2"/>
                <w:highlight w:val="none"/>
                <w:lang w:eastAsia="zh-CN"/>
              </w:rPr>
              <w:t>询比</w:t>
            </w:r>
            <w:r>
              <w:rPr>
                <w:rFonts w:hint="eastAsia"/>
                <w:color w:val="auto"/>
                <w:kern w:val="2"/>
                <w:highlight w:val="none"/>
              </w:rPr>
              <w:t>文件要求签章的彩色扫描件响应文件、EXCLE格式和计价软件编制格式的工程量清单</w:t>
            </w:r>
            <w:permEnd w:id="64"/>
            <w:r>
              <w:rPr>
                <w:rFonts w:hint="eastAsia"/>
                <w:color w:val="auto"/>
                <w:kern w:val="2"/>
                <w:highlight w:val="none"/>
              </w:rPr>
              <w:t>）。</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28"/>
              <w:spacing w:line="300" w:lineRule="auto"/>
              <w:ind w:firstLine="240" w:firstLineChars="100"/>
              <w:rPr>
                <w:rFonts w:hint="default" w:eastAsia="宋体"/>
                <w:color w:val="auto"/>
                <w:highlight w:val="none"/>
                <w:lang w:val="en-US" w:eastAsia="zh-CN"/>
              </w:rPr>
            </w:pPr>
            <w:permStart w:id="65" w:edGrp="everyone"/>
            <w:r>
              <w:rPr>
                <w:rFonts w:hint="eastAsia"/>
                <w:color w:val="auto"/>
                <w:highlight w:val="none"/>
              </w:rPr>
              <w:t>0830-</w:t>
            </w:r>
            <w:r>
              <w:rPr>
                <w:rFonts w:hint="eastAsia"/>
                <w:color w:val="auto"/>
                <w:highlight w:val="none"/>
                <w:lang w:eastAsia="zh-CN"/>
              </w:rPr>
              <w:t>652</w:t>
            </w:r>
            <w:r>
              <w:rPr>
                <w:rFonts w:hint="eastAsia"/>
                <w:color w:val="auto"/>
                <w:highlight w:val="none"/>
                <w:lang w:val="en-US" w:eastAsia="zh-CN"/>
              </w:rPr>
              <w:t>2163</w:t>
            </w:r>
            <w:permEnd w:id="65"/>
          </w:p>
        </w:tc>
      </w:tr>
    </w:tbl>
    <w:p w14:paraId="1E16FA37">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14:paraId="3B728957">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4417"/>
      <w:bookmarkStart w:id="16" w:name="_Toc91771149"/>
      <w:bookmarkStart w:id="17" w:name="_Toc20642"/>
      <w:r>
        <w:rPr>
          <w:rFonts w:hint="eastAsia" w:ascii="宋体" w:hAnsi="宋体"/>
          <w:b/>
          <w:color w:val="auto"/>
          <w:sz w:val="32"/>
          <w:highlight w:val="none"/>
        </w:rPr>
        <w:t>二、总则</w:t>
      </w:r>
      <w:bookmarkEnd w:id="15"/>
      <w:bookmarkEnd w:id="16"/>
      <w:bookmarkEnd w:id="17"/>
    </w:p>
    <w:p w14:paraId="393179D3">
      <w:pPr>
        <w:spacing w:line="360" w:lineRule="auto"/>
        <w:rPr>
          <w:b/>
          <w:color w:val="auto"/>
          <w:sz w:val="24"/>
          <w:highlight w:val="none"/>
        </w:rPr>
      </w:pPr>
      <w:r>
        <w:rPr>
          <w:b/>
          <w:color w:val="auto"/>
          <w:sz w:val="24"/>
          <w:highlight w:val="none"/>
        </w:rPr>
        <w:t>1.适用范围</w:t>
      </w:r>
    </w:p>
    <w:p w14:paraId="22B2504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14:paraId="4A2E12FD">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14:paraId="0A0C073D">
      <w:pPr>
        <w:spacing w:line="360" w:lineRule="auto"/>
        <w:rPr>
          <w:b/>
          <w:color w:val="auto"/>
          <w:sz w:val="24"/>
          <w:highlight w:val="none"/>
        </w:rPr>
      </w:pPr>
      <w:r>
        <w:rPr>
          <w:b/>
          <w:color w:val="auto"/>
          <w:sz w:val="24"/>
          <w:highlight w:val="none"/>
        </w:rPr>
        <w:t>2.采购主体</w:t>
      </w:r>
    </w:p>
    <w:p w14:paraId="0364648D">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14:paraId="5A7982A1">
      <w:pPr>
        <w:spacing w:line="360" w:lineRule="auto"/>
        <w:rPr>
          <w:b/>
          <w:color w:val="auto"/>
          <w:kern w:val="0"/>
          <w:sz w:val="24"/>
          <w:highlight w:val="none"/>
        </w:rPr>
      </w:pPr>
      <w:r>
        <w:rPr>
          <w:b/>
          <w:color w:val="auto"/>
          <w:kern w:val="0"/>
          <w:sz w:val="24"/>
          <w:highlight w:val="none"/>
        </w:rPr>
        <w:t>3. 合格供应商（实质性要求）</w:t>
      </w:r>
    </w:p>
    <w:p w14:paraId="0B444FB3">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702AF7">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27D55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7D5E3E4">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14:paraId="4BD43C56">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14:paraId="7304DD47">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14:paraId="0E48D314">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549A77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E0462F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86BF77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A475F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E41D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31C011B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477859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3DB2E5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0175E9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14:paraId="125D55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5EB71638">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1CF506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813762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14:paraId="2B877C9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14:paraId="408CF5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4BEE36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CDEDC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ABCE4F6">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14:paraId="23244CCA">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询比</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14:paraId="4B03F06C">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询比</w:t>
      </w:r>
      <w:r>
        <w:rPr>
          <w:color w:val="auto"/>
          <w:sz w:val="24"/>
          <w:highlight w:val="none"/>
        </w:rPr>
        <w:t>保证金的响应文件无效。</w:t>
      </w:r>
    </w:p>
    <w:p w14:paraId="4D51BD80">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14:paraId="36E77108">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14:paraId="74BD7E8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响应文件</w:t>
      </w:r>
      <w:r>
        <w:rPr>
          <w:color w:val="auto"/>
          <w:sz w:val="24"/>
          <w:highlight w:val="none"/>
        </w:rPr>
        <w:t>的；</w:t>
      </w:r>
    </w:p>
    <w:p w14:paraId="34935A1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7F6AFBA">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018D5D2">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14:paraId="07A572E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14:paraId="40BD37F3">
      <w:pPr>
        <w:spacing w:line="360" w:lineRule="auto"/>
        <w:ind w:firstLine="470" w:firstLineChars="196"/>
        <w:rPr>
          <w:color w:val="auto"/>
          <w:sz w:val="24"/>
          <w:highlight w:val="none"/>
        </w:rPr>
      </w:pPr>
      <w:r>
        <w:rPr>
          <w:color w:val="auto"/>
          <w:sz w:val="24"/>
          <w:highlight w:val="none"/>
        </w:rPr>
        <w:t>（六）供应商提供虚假资料的；</w:t>
      </w:r>
    </w:p>
    <w:p w14:paraId="65999542">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14:paraId="4C9C9675">
      <w:pPr>
        <w:spacing w:line="360" w:lineRule="auto"/>
        <w:ind w:firstLine="472" w:firstLineChars="196"/>
        <w:rPr>
          <w:b/>
          <w:color w:val="auto"/>
          <w:sz w:val="24"/>
          <w:highlight w:val="none"/>
        </w:rPr>
      </w:pPr>
      <w:r>
        <w:rPr>
          <w:b/>
          <w:color w:val="auto"/>
          <w:sz w:val="24"/>
          <w:highlight w:val="none"/>
        </w:rPr>
        <w:t>8.响应文件有效期（实质性要求）</w:t>
      </w:r>
    </w:p>
    <w:p w14:paraId="27EF214E">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14:paraId="34B8DFE2">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1B410C6">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8"/>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14:paraId="51B807C1">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highlight w:val="none"/>
        </w:rPr>
      </w:pPr>
      <w:bookmarkStart w:id="18" w:name="_Toc91771150"/>
      <w:bookmarkStart w:id="19" w:name="_Toc21309"/>
      <w:bookmarkStart w:id="20" w:name="_Toc1537"/>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8"/>
      <w:bookmarkEnd w:id="19"/>
      <w:bookmarkEnd w:id="20"/>
    </w:p>
    <w:p w14:paraId="36A6AD82">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14:paraId="5BC6368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14:paraId="2FCAA84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14:paraId="160C91A5">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14:paraId="53DDA5A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14:paraId="79037DDF">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w:t>
      </w:r>
      <w:r>
        <w:rPr>
          <w:bCs/>
          <w:color w:val="auto"/>
          <w:spacing w:val="0"/>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highlight w:val="none"/>
        </w:rPr>
      </w:pPr>
      <w:r>
        <w:rPr>
          <w:b/>
          <w:color w:val="auto"/>
          <w:sz w:val="24"/>
          <w:highlight w:val="none"/>
        </w:rPr>
        <w:t>12. 答疑会和现场考察</w:t>
      </w:r>
    </w:p>
    <w:p w14:paraId="14B9F54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14:paraId="62012BD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7E11825">
      <w:pPr>
        <w:spacing w:after="240" w:afterLines="100"/>
        <w:jc w:val="center"/>
        <w:outlineLvl w:val="1"/>
        <w:rPr>
          <w:rFonts w:ascii="宋体" w:hAnsi="宋体"/>
          <w:b/>
          <w:color w:val="auto"/>
          <w:sz w:val="32"/>
          <w:highlight w:val="none"/>
        </w:rPr>
      </w:pPr>
      <w:bookmarkStart w:id="21" w:name="_Toc91771151"/>
      <w:bookmarkStart w:id="22" w:name="_Toc16459"/>
      <w:bookmarkStart w:id="23" w:name="_Toc25276"/>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1"/>
      <w:bookmarkEnd w:id="22"/>
      <w:bookmarkEnd w:id="23"/>
    </w:p>
    <w:p w14:paraId="1CE19E3A">
      <w:pPr>
        <w:spacing w:line="360" w:lineRule="auto"/>
        <w:rPr>
          <w:b/>
          <w:color w:val="auto"/>
          <w:sz w:val="24"/>
          <w:highlight w:val="none"/>
        </w:rPr>
      </w:pPr>
      <w:r>
        <w:rPr>
          <w:b/>
          <w:color w:val="auto"/>
          <w:sz w:val="24"/>
          <w:highlight w:val="none"/>
        </w:rPr>
        <w:t>13.响应文件的组成（实质性要求）</w:t>
      </w:r>
    </w:p>
    <w:p w14:paraId="3EC228ED">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14:paraId="0F03F171">
      <w:pPr>
        <w:spacing w:line="360" w:lineRule="auto"/>
        <w:rPr>
          <w:b/>
          <w:color w:val="auto"/>
          <w:sz w:val="24"/>
          <w:highlight w:val="none"/>
        </w:rPr>
      </w:pPr>
      <w:r>
        <w:rPr>
          <w:b/>
          <w:color w:val="auto"/>
          <w:sz w:val="24"/>
          <w:highlight w:val="none"/>
        </w:rPr>
        <w:t>14.响应文件的语言（实质性要求）</w:t>
      </w:r>
    </w:p>
    <w:p w14:paraId="17C05B9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6FF8EBF">
      <w:pPr>
        <w:spacing w:line="360" w:lineRule="auto"/>
        <w:rPr>
          <w:b/>
          <w:color w:val="auto"/>
          <w:sz w:val="24"/>
          <w:highlight w:val="none"/>
        </w:rPr>
      </w:pPr>
      <w:r>
        <w:rPr>
          <w:b/>
          <w:color w:val="auto"/>
          <w:sz w:val="24"/>
          <w:highlight w:val="none"/>
        </w:rPr>
        <w:t>15．计量单位（实质性要求）</w:t>
      </w:r>
    </w:p>
    <w:p w14:paraId="1F343A70">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14:paraId="7145CAC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4C4D0EE">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14:paraId="28D7CB13">
      <w:pPr>
        <w:spacing w:line="360" w:lineRule="auto"/>
        <w:rPr>
          <w:b/>
          <w:color w:val="auto"/>
          <w:sz w:val="24"/>
          <w:highlight w:val="none"/>
        </w:rPr>
      </w:pPr>
      <w:r>
        <w:rPr>
          <w:b/>
          <w:color w:val="auto"/>
          <w:sz w:val="24"/>
          <w:highlight w:val="none"/>
        </w:rPr>
        <w:t>17.响应文件格式</w:t>
      </w:r>
    </w:p>
    <w:p w14:paraId="70AF9FB6">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14:paraId="0B1F814D">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14:paraId="6C0640D0">
      <w:pPr>
        <w:spacing w:line="360" w:lineRule="auto"/>
        <w:rPr>
          <w:b/>
          <w:color w:val="auto"/>
          <w:sz w:val="24"/>
          <w:highlight w:val="none"/>
        </w:rPr>
      </w:pPr>
      <w:r>
        <w:rPr>
          <w:b/>
          <w:color w:val="auto"/>
          <w:sz w:val="24"/>
          <w:highlight w:val="none"/>
        </w:rPr>
        <w:t>18.响应文件的编制和签署</w:t>
      </w:r>
    </w:p>
    <w:p w14:paraId="2D533FB8">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249F54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F1A6D5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CB62C3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D919CF4">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D5A42F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B00BD57">
      <w:pPr>
        <w:tabs>
          <w:tab w:val="left" w:pos="1080"/>
        </w:tabs>
        <w:spacing w:line="360" w:lineRule="auto"/>
        <w:rPr>
          <w:b/>
          <w:color w:val="auto"/>
          <w:sz w:val="24"/>
          <w:highlight w:val="none"/>
        </w:rPr>
      </w:pPr>
      <w:r>
        <w:rPr>
          <w:b/>
          <w:color w:val="auto"/>
          <w:sz w:val="24"/>
          <w:highlight w:val="none"/>
        </w:rPr>
        <w:t>20.响应文件的递交</w:t>
      </w:r>
    </w:p>
    <w:p w14:paraId="6C2845FA">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14:paraId="3CC7193B">
      <w:pPr>
        <w:spacing w:line="360" w:lineRule="auto"/>
        <w:ind w:firstLine="480" w:firstLineChars="200"/>
        <w:rPr>
          <w:color w:val="auto"/>
          <w:sz w:val="24"/>
          <w:highlight w:val="none"/>
        </w:rPr>
      </w:pPr>
      <w:r>
        <w:rPr>
          <w:color w:val="auto"/>
          <w:sz w:val="24"/>
          <w:highlight w:val="none"/>
        </w:rPr>
        <w:t>20.2本次采购不接收邮寄的响应文件。</w:t>
      </w:r>
    </w:p>
    <w:p w14:paraId="0725E9F3">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E1D77A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w:t>
      </w:r>
      <w:r>
        <w:rPr>
          <w:rFonts w:hint="eastAsia"/>
          <w:color w:val="auto"/>
          <w:sz w:val="24"/>
          <w:highlight w:val="none"/>
          <w:lang w:eastAsia="zh-CN"/>
        </w:rPr>
        <w:t>总则第</w:t>
      </w:r>
      <w:r>
        <w:rPr>
          <w:rFonts w:hint="eastAsia"/>
          <w:color w:val="auto"/>
          <w:sz w:val="24"/>
          <w:highlight w:val="none"/>
          <w:lang w:val="en-US" w:eastAsia="zh-CN"/>
        </w:rPr>
        <w:t>7款</w:t>
      </w:r>
      <w:r>
        <w:rPr>
          <w:color w:val="auto"/>
          <w:sz w:val="24"/>
          <w:highlight w:val="none"/>
        </w:rPr>
        <w:t>”的相关规定被没收。</w:t>
      </w:r>
    </w:p>
    <w:p w14:paraId="03934984">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5A56A780">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9EFA8B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284C267">
      <w:pPr>
        <w:spacing w:after="240" w:afterLines="100"/>
        <w:jc w:val="center"/>
        <w:outlineLvl w:val="1"/>
        <w:rPr>
          <w:rFonts w:ascii="宋体" w:hAnsi="宋体"/>
          <w:b/>
          <w:color w:val="auto"/>
          <w:sz w:val="32"/>
          <w:highlight w:val="none"/>
        </w:rPr>
      </w:pPr>
      <w:bookmarkStart w:id="24" w:name="_Toc25916"/>
      <w:bookmarkStart w:id="25" w:name="_Toc28609"/>
      <w:bookmarkStart w:id="26" w:name="_Toc91771152"/>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4"/>
      <w:bookmarkEnd w:id="25"/>
      <w:bookmarkEnd w:id="26"/>
    </w:p>
    <w:p w14:paraId="227FAD3B">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14:paraId="1E48EF95">
      <w:pPr>
        <w:spacing w:after="240" w:afterLines="100"/>
        <w:jc w:val="center"/>
        <w:outlineLvl w:val="1"/>
        <w:rPr>
          <w:rFonts w:ascii="宋体" w:hAnsi="宋体"/>
          <w:b/>
          <w:color w:val="auto"/>
          <w:sz w:val="32"/>
          <w:highlight w:val="none"/>
        </w:rPr>
      </w:pPr>
      <w:bookmarkStart w:id="27" w:name="_Toc91771153"/>
      <w:bookmarkStart w:id="28" w:name="_Toc3730"/>
      <w:bookmarkStart w:id="29" w:name="_Toc9718"/>
      <w:r>
        <w:rPr>
          <w:rFonts w:ascii="宋体" w:hAnsi="宋体"/>
          <w:b/>
          <w:color w:val="auto"/>
          <w:sz w:val="32"/>
          <w:highlight w:val="none"/>
        </w:rPr>
        <w:t>六、成交事项</w:t>
      </w:r>
      <w:bookmarkEnd w:id="27"/>
      <w:bookmarkEnd w:id="28"/>
      <w:bookmarkEnd w:id="29"/>
    </w:p>
    <w:p w14:paraId="609AE92A">
      <w:pPr>
        <w:spacing w:line="360" w:lineRule="auto"/>
        <w:rPr>
          <w:b/>
          <w:color w:val="auto"/>
          <w:sz w:val="24"/>
          <w:highlight w:val="none"/>
        </w:rPr>
      </w:pPr>
      <w:r>
        <w:rPr>
          <w:b/>
          <w:color w:val="auto"/>
          <w:sz w:val="24"/>
          <w:highlight w:val="none"/>
        </w:rPr>
        <w:t>23.确定成交供应商</w:t>
      </w:r>
    </w:p>
    <w:p w14:paraId="3B75368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59ACD7A">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D48D45B">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71AD441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32627F7">
      <w:pPr>
        <w:spacing w:line="360" w:lineRule="auto"/>
        <w:ind w:firstLine="480" w:firstLineChars="200"/>
        <w:rPr>
          <w:color w:val="auto"/>
          <w:sz w:val="24"/>
          <w:highlight w:val="none"/>
        </w:rPr>
      </w:pPr>
      <w:r>
        <w:rPr>
          <w:color w:val="auto"/>
          <w:sz w:val="24"/>
          <w:highlight w:val="none"/>
        </w:rPr>
        <w:t>（3）成交候选供应商提供虚假材料；</w:t>
      </w:r>
    </w:p>
    <w:p w14:paraId="09915FE4">
      <w:pPr>
        <w:spacing w:line="360" w:lineRule="auto"/>
        <w:ind w:firstLine="480" w:firstLineChars="200"/>
        <w:rPr>
          <w:color w:val="auto"/>
          <w:sz w:val="24"/>
          <w:highlight w:val="none"/>
        </w:rPr>
      </w:pPr>
      <w:r>
        <w:rPr>
          <w:color w:val="auto"/>
          <w:sz w:val="24"/>
          <w:highlight w:val="none"/>
        </w:rPr>
        <w:t>（4）成交候选供应商恶意串通。</w:t>
      </w:r>
    </w:p>
    <w:p w14:paraId="285A5F4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185AEDC8">
      <w:pPr>
        <w:spacing w:line="360" w:lineRule="auto"/>
        <w:rPr>
          <w:b/>
          <w:color w:val="auto"/>
          <w:sz w:val="24"/>
          <w:highlight w:val="none"/>
        </w:rPr>
      </w:pPr>
      <w:r>
        <w:rPr>
          <w:b/>
          <w:color w:val="auto"/>
          <w:sz w:val="24"/>
          <w:highlight w:val="none"/>
        </w:rPr>
        <w:t>24.信用记录查询</w:t>
      </w:r>
    </w:p>
    <w:p w14:paraId="00813CFA">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eastAsia="zh-CN"/>
        </w:rPr>
        <w:t>裕阳公司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eastAsia="zh-CN"/>
        </w:rPr>
        <w:t>裕阳公司</w:t>
      </w:r>
      <w:r>
        <w:rPr>
          <w:color w:val="auto"/>
          <w:sz w:val="24"/>
          <w:highlight w:val="none"/>
        </w:rPr>
        <w:t>列入不诚信供应商库的存在不良信用记录的，视同联合体被</w:t>
      </w:r>
      <w:r>
        <w:rPr>
          <w:rFonts w:hint="eastAsia"/>
          <w:color w:val="auto"/>
          <w:sz w:val="24"/>
          <w:highlight w:val="none"/>
          <w:lang w:eastAsia="zh-CN"/>
        </w:rPr>
        <w:t>裕阳公司</w:t>
      </w:r>
      <w:r>
        <w:rPr>
          <w:color w:val="auto"/>
          <w:sz w:val="24"/>
          <w:highlight w:val="none"/>
        </w:rPr>
        <w:t>列入不诚信供应商库）。</w:t>
      </w:r>
    </w:p>
    <w:p w14:paraId="23F7FA0D">
      <w:pPr>
        <w:spacing w:after="240" w:afterLines="100"/>
        <w:jc w:val="center"/>
        <w:outlineLvl w:val="1"/>
        <w:rPr>
          <w:rFonts w:ascii="宋体" w:hAnsi="宋体"/>
          <w:b/>
          <w:color w:val="auto"/>
          <w:sz w:val="32"/>
          <w:highlight w:val="none"/>
        </w:rPr>
      </w:pPr>
      <w:bookmarkStart w:id="30" w:name="_Toc91771154"/>
      <w:bookmarkStart w:id="31" w:name="_Toc4598"/>
      <w:bookmarkStart w:id="32" w:name="_Toc14733"/>
      <w:r>
        <w:rPr>
          <w:rFonts w:ascii="宋体" w:hAnsi="宋体"/>
          <w:b/>
          <w:color w:val="auto"/>
          <w:sz w:val="32"/>
          <w:highlight w:val="none"/>
        </w:rPr>
        <w:t>七、合同事项</w:t>
      </w:r>
      <w:bookmarkEnd w:id="30"/>
      <w:bookmarkEnd w:id="31"/>
      <w:bookmarkEnd w:id="32"/>
    </w:p>
    <w:p w14:paraId="2A3AEF2E">
      <w:pPr>
        <w:spacing w:line="360" w:lineRule="auto"/>
        <w:rPr>
          <w:b/>
          <w:color w:val="auto"/>
          <w:sz w:val="24"/>
          <w:highlight w:val="none"/>
        </w:rPr>
      </w:pPr>
      <w:bookmarkStart w:id="33" w:name="_Toc101338364"/>
      <w:bookmarkStart w:id="34" w:name="_Toc101250646"/>
      <w:bookmarkStart w:id="35" w:name="_Toc430773927"/>
      <w:bookmarkStart w:id="36" w:name="_Toc209847069"/>
      <w:bookmarkStart w:id="37" w:name="_Toc101174151"/>
      <w:r>
        <w:rPr>
          <w:b/>
          <w:color w:val="auto"/>
          <w:sz w:val="24"/>
          <w:highlight w:val="none"/>
        </w:rPr>
        <w:t>25.签订合同</w:t>
      </w:r>
      <w:bookmarkEnd w:id="33"/>
      <w:bookmarkEnd w:id="34"/>
      <w:bookmarkEnd w:id="35"/>
      <w:bookmarkEnd w:id="36"/>
      <w:bookmarkEnd w:id="37"/>
    </w:p>
    <w:p w14:paraId="7185547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rFonts w:hint="eastAsia"/>
          <w:color w:val="auto"/>
          <w:sz w:val="24"/>
          <w:highlight w:val="none"/>
          <w:lang w:val="en-US" w:eastAsia="zh-CN"/>
        </w:rPr>
        <w:t>30</w:t>
      </w:r>
      <w:r>
        <w:rPr>
          <w:color w:val="auto"/>
          <w:sz w:val="24"/>
          <w:highlight w:val="none"/>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14:paraId="13331A4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14:paraId="44F002DF">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14:paraId="7AB16897">
      <w:pPr>
        <w:spacing w:line="360" w:lineRule="auto"/>
        <w:rPr>
          <w:b/>
          <w:color w:val="auto"/>
          <w:sz w:val="24"/>
          <w:highlight w:val="none"/>
        </w:rPr>
      </w:pPr>
      <w:r>
        <w:rPr>
          <w:b/>
          <w:color w:val="auto"/>
          <w:sz w:val="24"/>
          <w:highlight w:val="none"/>
        </w:rPr>
        <w:t>26.合同分包（实质性要求）</w:t>
      </w:r>
    </w:p>
    <w:p w14:paraId="0F1BE86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7867FD56">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68B528C1">
      <w:pPr>
        <w:spacing w:line="360" w:lineRule="auto"/>
        <w:rPr>
          <w:b/>
          <w:color w:val="auto"/>
          <w:sz w:val="24"/>
          <w:highlight w:val="none"/>
        </w:rPr>
      </w:pPr>
      <w:r>
        <w:rPr>
          <w:b/>
          <w:color w:val="auto"/>
          <w:sz w:val="24"/>
          <w:highlight w:val="none"/>
        </w:rPr>
        <w:t>27.合同转包（实质性要求）</w:t>
      </w:r>
    </w:p>
    <w:p w14:paraId="52B8D4E3">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3A03B05">
      <w:pPr>
        <w:spacing w:line="360" w:lineRule="auto"/>
        <w:rPr>
          <w:b/>
          <w:color w:val="auto"/>
          <w:sz w:val="24"/>
          <w:highlight w:val="none"/>
        </w:rPr>
      </w:pPr>
      <w:r>
        <w:rPr>
          <w:b/>
          <w:color w:val="auto"/>
          <w:sz w:val="24"/>
          <w:highlight w:val="none"/>
        </w:rPr>
        <w:t>28.补充合同</w:t>
      </w:r>
    </w:p>
    <w:p w14:paraId="052FA649">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highlight w:val="none"/>
        </w:rPr>
      </w:pPr>
      <w:r>
        <w:rPr>
          <w:b/>
          <w:color w:val="auto"/>
          <w:sz w:val="24"/>
          <w:highlight w:val="none"/>
        </w:rPr>
        <w:t>29.履约保证金（实质性要求）</w:t>
      </w:r>
    </w:p>
    <w:p w14:paraId="71F0CA3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F8197A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C56D8CB">
      <w:pPr>
        <w:spacing w:line="360" w:lineRule="auto"/>
        <w:rPr>
          <w:b/>
          <w:color w:val="auto"/>
          <w:sz w:val="24"/>
          <w:highlight w:val="none"/>
        </w:rPr>
      </w:pPr>
      <w:r>
        <w:rPr>
          <w:b/>
          <w:color w:val="auto"/>
          <w:sz w:val="24"/>
          <w:highlight w:val="none"/>
        </w:rPr>
        <w:t>30.合同公告</w:t>
      </w:r>
    </w:p>
    <w:p w14:paraId="10B472AF">
      <w:pPr>
        <w:spacing w:line="360" w:lineRule="auto"/>
        <w:ind w:firstLine="480" w:firstLineChars="200"/>
        <w:rPr>
          <w:color w:val="auto"/>
          <w:sz w:val="24"/>
          <w:highlight w:val="none"/>
        </w:rPr>
      </w:pPr>
      <w:r>
        <w:rPr>
          <w:color w:val="auto"/>
          <w:sz w:val="24"/>
          <w:highlight w:val="none"/>
        </w:rPr>
        <w:t>/。</w:t>
      </w:r>
    </w:p>
    <w:p w14:paraId="6FFBB3CE">
      <w:pPr>
        <w:spacing w:line="360" w:lineRule="auto"/>
        <w:rPr>
          <w:b/>
          <w:color w:val="auto"/>
          <w:sz w:val="24"/>
          <w:highlight w:val="none"/>
        </w:rPr>
      </w:pPr>
      <w:r>
        <w:rPr>
          <w:b/>
          <w:color w:val="auto"/>
          <w:sz w:val="24"/>
          <w:highlight w:val="none"/>
        </w:rPr>
        <w:t>31.合同备案</w:t>
      </w:r>
    </w:p>
    <w:p w14:paraId="4933FAE6">
      <w:pPr>
        <w:spacing w:line="360" w:lineRule="auto"/>
        <w:ind w:firstLine="480" w:firstLineChars="200"/>
        <w:rPr>
          <w:color w:val="auto"/>
          <w:sz w:val="24"/>
          <w:highlight w:val="none"/>
        </w:rPr>
      </w:pPr>
      <w:r>
        <w:rPr>
          <w:color w:val="auto"/>
          <w:sz w:val="24"/>
          <w:highlight w:val="none"/>
        </w:rPr>
        <w:t>/。</w:t>
      </w:r>
    </w:p>
    <w:p w14:paraId="6CCC0A49">
      <w:pPr>
        <w:spacing w:line="360" w:lineRule="auto"/>
        <w:rPr>
          <w:b/>
          <w:color w:val="auto"/>
          <w:sz w:val="24"/>
          <w:highlight w:val="none"/>
        </w:rPr>
      </w:pPr>
      <w:r>
        <w:rPr>
          <w:b/>
          <w:color w:val="auto"/>
          <w:sz w:val="24"/>
          <w:highlight w:val="none"/>
        </w:rPr>
        <w:t>32.履行合同</w:t>
      </w:r>
    </w:p>
    <w:p w14:paraId="280CF5A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144C17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AD2C26A">
      <w:pPr>
        <w:spacing w:line="360" w:lineRule="auto"/>
        <w:rPr>
          <w:b/>
          <w:color w:val="auto"/>
          <w:sz w:val="24"/>
          <w:highlight w:val="none"/>
        </w:rPr>
      </w:pPr>
      <w:r>
        <w:rPr>
          <w:b/>
          <w:color w:val="auto"/>
          <w:sz w:val="24"/>
          <w:highlight w:val="none"/>
        </w:rPr>
        <w:t>33.验收</w:t>
      </w:r>
    </w:p>
    <w:p w14:paraId="453CDFE1">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23ABA5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eastAsia="zh-CN"/>
        </w:rPr>
        <w:t>裕阳公司</w:t>
      </w:r>
      <w:r>
        <w:rPr>
          <w:color w:val="auto"/>
          <w:sz w:val="24"/>
          <w:highlight w:val="none"/>
        </w:rPr>
        <w:t>不诚信供应商库。</w:t>
      </w:r>
    </w:p>
    <w:p w14:paraId="24991BBF">
      <w:pPr>
        <w:spacing w:line="360" w:lineRule="auto"/>
        <w:rPr>
          <w:b/>
          <w:color w:val="auto"/>
          <w:sz w:val="24"/>
          <w:highlight w:val="none"/>
        </w:rPr>
      </w:pPr>
      <w:r>
        <w:rPr>
          <w:b/>
          <w:color w:val="auto"/>
          <w:sz w:val="24"/>
          <w:highlight w:val="none"/>
        </w:rPr>
        <w:t>34.资金支付</w:t>
      </w:r>
    </w:p>
    <w:p w14:paraId="4BABC0E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3E30590">
      <w:pPr>
        <w:spacing w:after="240" w:afterLines="100"/>
        <w:jc w:val="center"/>
        <w:outlineLvl w:val="1"/>
        <w:rPr>
          <w:rFonts w:ascii="宋体" w:hAnsi="宋体"/>
          <w:b/>
          <w:color w:val="auto"/>
          <w:sz w:val="32"/>
          <w:highlight w:val="none"/>
        </w:rPr>
      </w:pPr>
      <w:bookmarkStart w:id="38" w:name="_Toc29173"/>
      <w:bookmarkStart w:id="39" w:name="_Toc12838"/>
      <w:bookmarkStart w:id="40" w:name="_Toc91771155"/>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8"/>
      <w:bookmarkEnd w:id="39"/>
      <w:bookmarkEnd w:id="40"/>
    </w:p>
    <w:p w14:paraId="529511C0">
      <w:pPr>
        <w:tabs>
          <w:tab w:val="left" w:pos="851"/>
        </w:tabs>
        <w:spacing w:line="360" w:lineRule="auto"/>
        <w:rPr>
          <w:b/>
          <w:color w:val="auto"/>
          <w:sz w:val="24"/>
          <w:highlight w:val="none"/>
        </w:rPr>
      </w:pPr>
      <w:r>
        <w:rPr>
          <w:b/>
          <w:color w:val="auto"/>
          <w:sz w:val="24"/>
          <w:highlight w:val="none"/>
        </w:rPr>
        <w:t>35.供应商不得具有的情形</w:t>
      </w:r>
    </w:p>
    <w:p w14:paraId="7321E45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14:paraId="127B8D10">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7B9E47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D3A5D6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58EA4A8">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14:paraId="316E4E9F">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14:paraId="5ED10FD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671BCF9">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14:paraId="600C539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7C41741">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2FF7534">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C28579">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2E66A9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67A7C79">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highlight w:val="none"/>
        </w:rPr>
      </w:pPr>
      <w:bookmarkStart w:id="41" w:name="_Toc91771156"/>
      <w:bookmarkStart w:id="42" w:name="_Toc13924"/>
      <w:bookmarkStart w:id="43" w:name="_Toc20523"/>
      <w:r>
        <w:rPr>
          <w:rFonts w:ascii="宋体" w:hAnsi="宋体"/>
          <w:b/>
          <w:color w:val="auto"/>
          <w:sz w:val="32"/>
          <w:highlight w:val="none"/>
        </w:rPr>
        <w:t>九、询问、质疑和投诉</w:t>
      </w:r>
      <w:bookmarkEnd w:id="41"/>
      <w:bookmarkEnd w:id="42"/>
      <w:bookmarkEnd w:id="43"/>
    </w:p>
    <w:p w14:paraId="3AD093D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highlight w:val="none"/>
        </w:rPr>
      </w:pPr>
      <w:bookmarkStart w:id="44" w:name="_Toc4868"/>
      <w:bookmarkStart w:id="45" w:name="_Toc91771157"/>
      <w:bookmarkStart w:id="46" w:name="_Toc14554"/>
      <w:r>
        <w:rPr>
          <w:rFonts w:ascii="宋体" w:hAnsi="宋体"/>
          <w:b/>
          <w:color w:val="auto"/>
          <w:sz w:val="32"/>
          <w:highlight w:val="none"/>
        </w:rPr>
        <w:t>十、其他</w:t>
      </w:r>
      <w:bookmarkEnd w:id="44"/>
      <w:bookmarkEnd w:id="45"/>
      <w:bookmarkEnd w:id="46"/>
    </w:p>
    <w:p w14:paraId="11C7320C">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14:paraId="2E834F3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DD1E214">
      <w:pPr>
        <w:rPr>
          <w:rFonts w:hint="eastAsia"/>
          <w:color w:val="auto"/>
          <w:highlight w:val="none"/>
        </w:rPr>
      </w:pPr>
    </w:p>
    <w:p w14:paraId="1F10FCF1">
      <w:pPr>
        <w:spacing w:before="120" w:beforeLines="50" w:after="360" w:afterLines="150"/>
        <w:jc w:val="center"/>
        <w:outlineLvl w:val="0"/>
        <w:rPr>
          <w:rFonts w:hint="eastAsia" w:ascii="黑体" w:hAnsi="黑体" w:eastAsia="黑体"/>
          <w:color w:val="auto"/>
          <w:sz w:val="36"/>
          <w:highlight w:val="none"/>
        </w:rPr>
      </w:pPr>
      <w:bookmarkStart w:id="47" w:name="_Toc183582232"/>
      <w:bookmarkStart w:id="48" w:name="_Toc183682369"/>
      <w:bookmarkStart w:id="49" w:name="_Toc217446057"/>
      <w:r>
        <w:rPr>
          <w:rFonts w:ascii="黑体" w:hAnsi="黑体" w:eastAsia="黑体"/>
          <w:color w:val="auto"/>
          <w:sz w:val="36"/>
          <w:highlight w:val="none"/>
        </w:rPr>
        <w:br w:type="page"/>
      </w:r>
      <w:bookmarkStart w:id="50" w:name="_Toc91771158"/>
      <w:bookmarkStart w:id="51" w:name="_Toc26629"/>
      <w:bookmarkStart w:id="52" w:name="_Toc14799"/>
      <w:r>
        <w:rPr>
          <w:rFonts w:hint="eastAsia" w:ascii="黑体" w:hAnsi="黑体" w:eastAsia="黑体"/>
          <w:color w:val="auto"/>
          <w:sz w:val="36"/>
          <w:highlight w:val="none"/>
        </w:rPr>
        <w:t>第三章 项目技术、服务及商务要求</w:t>
      </w:r>
      <w:bookmarkEnd w:id="50"/>
      <w:bookmarkEnd w:id="51"/>
      <w:bookmarkEnd w:id="52"/>
    </w:p>
    <w:p w14:paraId="6C9BF74F">
      <w:pPr>
        <w:outlineLvl w:val="1"/>
        <w:rPr>
          <w:rFonts w:hint="eastAsia" w:ascii="宋体" w:hAnsi="宋体"/>
          <w:b/>
          <w:color w:val="auto"/>
          <w:sz w:val="32"/>
          <w:highlight w:val="none"/>
        </w:rPr>
      </w:pPr>
      <w:bookmarkStart w:id="53" w:name="_Toc91771159"/>
      <w:bookmarkStart w:id="54" w:name="_Toc4036"/>
      <w:bookmarkStart w:id="55" w:name="_Toc8217"/>
      <w:permStart w:id="66" w:edGrp="everyone"/>
      <w:r>
        <w:rPr>
          <w:rFonts w:hint="eastAsia" w:ascii="宋体" w:hAnsi="宋体"/>
          <w:b/>
          <w:color w:val="auto"/>
          <w:sz w:val="32"/>
          <w:highlight w:val="none"/>
        </w:rPr>
        <w:t>一、项目概况</w:t>
      </w:r>
      <w:bookmarkEnd w:id="53"/>
      <w:bookmarkEnd w:id="54"/>
      <w:bookmarkEnd w:id="55"/>
    </w:p>
    <w:p w14:paraId="5CF3C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sz w:val="24"/>
          <w:highlight w:val="none"/>
          <w:lang w:val="en-US" w:eastAsia="zh-CN"/>
        </w:rPr>
      </w:pPr>
      <w:bookmarkStart w:id="56" w:name="_Toc27434"/>
      <w:bookmarkStart w:id="57" w:name="_Toc91771160"/>
      <w:r>
        <w:rPr>
          <w:rFonts w:hint="eastAsia" w:cs="Times New Roman"/>
          <w:color w:val="auto"/>
          <w:sz w:val="24"/>
          <w:highlight w:val="none"/>
          <w:lang w:val="en-US" w:eastAsia="zh-CN"/>
        </w:rPr>
        <w:t>泸州市锦阳保安服务有限公司经营需要，拟采购一家供应商，对指定厂区进行摄像头等相关配件设备供应、</w:t>
      </w:r>
      <w:r>
        <w:rPr>
          <w:rFonts w:hint="eastAsia" w:ascii="Times New Roman" w:hAnsi="Times New Roman" w:eastAsia="宋体" w:cs="Times New Roman"/>
          <w:color w:val="auto"/>
          <w:spacing w:val="-4"/>
          <w:sz w:val="24"/>
          <w:highlight w:val="none"/>
          <w:lang w:val="en-US" w:eastAsia="zh-CN"/>
        </w:rPr>
        <w:t>安装和测试</w:t>
      </w:r>
      <w:r>
        <w:rPr>
          <w:rFonts w:hint="eastAsia" w:cs="Times New Roman"/>
          <w:color w:val="auto"/>
          <w:spacing w:val="-4"/>
          <w:sz w:val="24"/>
          <w:highlight w:val="none"/>
          <w:lang w:val="en-US" w:eastAsia="zh-CN"/>
        </w:rPr>
        <w:t>。</w:t>
      </w:r>
    </w:p>
    <w:p w14:paraId="39735659">
      <w:pPr>
        <w:outlineLvl w:val="1"/>
        <w:rPr>
          <w:rFonts w:hint="eastAsia" w:ascii="宋体" w:hAnsi="宋体"/>
          <w:b/>
          <w:color w:val="auto"/>
          <w:sz w:val="32"/>
          <w:highlight w:val="none"/>
        </w:rPr>
      </w:pPr>
      <w:bookmarkStart w:id="58" w:name="_Toc738"/>
      <w:r>
        <w:rPr>
          <w:rFonts w:hint="eastAsia" w:ascii="宋体" w:hAnsi="宋体"/>
          <w:b/>
          <w:color w:val="auto"/>
          <w:sz w:val="32"/>
          <w:highlight w:val="none"/>
        </w:rPr>
        <w:t>二、技术</w:t>
      </w:r>
      <w:r>
        <w:rPr>
          <w:rFonts w:hint="eastAsia" w:ascii="宋体" w:hAnsi="宋体"/>
          <w:b/>
          <w:color w:val="auto"/>
          <w:sz w:val="32"/>
          <w:highlight w:val="none"/>
          <w:lang w:eastAsia="zh-CN"/>
        </w:rPr>
        <w:t>、</w:t>
      </w:r>
      <w:r>
        <w:rPr>
          <w:rFonts w:hint="eastAsia" w:ascii="宋体" w:hAnsi="宋体"/>
          <w:b/>
          <w:color w:val="auto"/>
          <w:sz w:val="32"/>
          <w:highlight w:val="none"/>
        </w:rPr>
        <w:t>服务要求</w:t>
      </w:r>
      <w:bookmarkEnd w:id="56"/>
      <w:bookmarkEnd w:id="57"/>
      <w:bookmarkEnd w:id="58"/>
    </w:p>
    <w:p w14:paraId="07F0B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（一）交货地点：江阳区范围内采购人指定地点。</w:t>
      </w:r>
    </w:p>
    <w:p w14:paraId="7963F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（二）供应商提供的产品应为最新生产的全新的原装正品，且权属清楚，不得侵害他人的知识产权。各项指标符合国家检测标准和出厂标准。</w:t>
      </w:r>
    </w:p>
    <w:p w14:paraId="3C4DE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（三）供应商供货时应提供产品完整的相关证书、证件、资料、税票等，进口设备提供原装进口设备的相关凭证（如有），否则视为验收不合格并终止双方合同。</w:t>
      </w:r>
    </w:p>
    <w:p w14:paraId="02708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（四）供应商所交产品不符合规定或质量不合格的，由供应商负责在合同约定的交货时间内包换，并承担换货而支付的一切费用。供应商不能调换的，按不能交货处理。</w:t>
      </w:r>
    </w:p>
    <w:p w14:paraId="4CB71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五）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109D0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Times New Roman"/>
          <w:color w:val="auto"/>
          <w:sz w:val="24"/>
          <w:highlight w:val="none"/>
          <w:lang w:val="en-US" w:eastAsia="zh-CN"/>
        </w:rPr>
        <w:t>（六）验收：由采购人组织人员进行验收，验收标准按国家有关规定质量要求，并对照供应商响应的技术参数进行验收。</w:t>
      </w:r>
    </w:p>
    <w:p w14:paraId="66A9F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（七）供应商提供设备应满足国家和行业相关质量规范、标准和满足新国标要求。参数因等于或优于下表要求，否则投标无效。</w:t>
      </w:r>
    </w:p>
    <w:tbl>
      <w:tblPr>
        <w:tblStyle w:val="18"/>
        <w:tblW w:w="8658"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
        <w:gridCol w:w="1140"/>
        <w:gridCol w:w="5849"/>
        <w:gridCol w:w="624"/>
        <w:gridCol w:w="623"/>
      </w:tblGrid>
      <w:tr w14:paraId="2C77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7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6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8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A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F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62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B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0522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82B7E">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A64B5">
            <w:pPr>
              <w:jc w:val="center"/>
              <w:rPr>
                <w:rFonts w:hint="eastAsia" w:ascii="宋体" w:hAnsi="宋体" w:eastAsia="宋体" w:cs="宋体"/>
                <w:i w:val="0"/>
                <w:iCs w:val="0"/>
                <w:color w:val="000000"/>
                <w:sz w:val="20"/>
                <w:szCs w:val="20"/>
                <w:u w:val="none"/>
              </w:rPr>
            </w:pPr>
          </w:p>
        </w:tc>
        <w:tc>
          <w:tcPr>
            <w:tcW w:w="58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89948">
            <w:pPr>
              <w:jc w:val="center"/>
              <w:rPr>
                <w:rFonts w:hint="eastAsia" w:ascii="宋体" w:hAnsi="宋体" w:eastAsia="宋体" w:cs="宋体"/>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9F8FC">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CD29B">
            <w:pPr>
              <w:jc w:val="center"/>
              <w:rPr>
                <w:rFonts w:hint="eastAsia" w:ascii="宋体" w:hAnsi="宋体" w:eastAsia="宋体" w:cs="宋体"/>
                <w:i w:val="0"/>
                <w:iCs w:val="0"/>
                <w:color w:val="000000"/>
                <w:sz w:val="20"/>
                <w:szCs w:val="20"/>
                <w:u w:val="none"/>
              </w:rPr>
            </w:pPr>
          </w:p>
        </w:tc>
      </w:tr>
      <w:tr w14:paraId="4DD7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2EBA4">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A64D2">
            <w:pPr>
              <w:jc w:val="center"/>
              <w:rPr>
                <w:rFonts w:hint="eastAsia" w:ascii="宋体" w:hAnsi="宋体" w:eastAsia="宋体" w:cs="宋体"/>
                <w:i w:val="0"/>
                <w:iCs w:val="0"/>
                <w:color w:val="000000"/>
                <w:sz w:val="20"/>
                <w:szCs w:val="20"/>
                <w:u w:val="none"/>
              </w:rPr>
            </w:pPr>
          </w:p>
        </w:tc>
        <w:tc>
          <w:tcPr>
            <w:tcW w:w="58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B26D">
            <w:pPr>
              <w:jc w:val="center"/>
              <w:rPr>
                <w:rFonts w:hint="eastAsia" w:ascii="宋体" w:hAnsi="宋体" w:eastAsia="宋体" w:cs="宋体"/>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6C64B">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CF56D">
            <w:pPr>
              <w:jc w:val="center"/>
              <w:rPr>
                <w:rFonts w:hint="eastAsia" w:ascii="宋体" w:hAnsi="宋体" w:eastAsia="宋体" w:cs="宋体"/>
                <w:i w:val="0"/>
                <w:iCs w:val="0"/>
                <w:color w:val="000000"/>
                <w:sz w:val="20"/>
                <w:szCs w:val="20"/>
                <w:u w:val="none"/>
              </w:rPr>
            </w:pPr>
          </w:p>
        </w:tc>
      </w:tr>
      <w:tr w14:paraId="6343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72CC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B4F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高清摄像机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BA94F4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1、采用不低于800万像素1/1.8英寸CMOS图像传感器，低照度效果好，图像清晰度高；</w:t>
            </w:r>
          </w:p>
          <w:p w14:paraId="1A311DB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2、采用AI ISP技术，支持周界防范（绊线入侵，区域入侵）、SMD Plus(人形/车形检测)；</w:t>
            </w:r>
          </w:p>
          <w:p w14:paraId="743D939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防补光过曝功能，其支持人脸优先、车牌优先、关闭3种模式;开启人脸优先功能,设备检测到人员后可自动调节补光灯的亮度,人员离开后补光灯恢复;开启车牌优先功能,设备检测到车辆后可自动开启补光灯并调节亮度,车辆离开后补光灯关闭；</w:t>
            </w:r>
          </w:p>
          <w:p w14:paraId="46D6EB5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4、设备采用4颗（暖光灯）补光，可见光：≥40米；</w:t>
            </w:r>
          </w:p>
          <w:p w14:paraId="50B4442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超感光功能自动调节，可自动调节画面中人脸、人体目标以及环境景物的亮度、色彩饱和度、对比度、锐度;画面信噪比不小于50dB,色彩饱和度不小于120%(提供国家认可的第三方检测机构出具有CMA标识的检测报告复印件并加盖投标人公章)；</w:t>
            </w:r>
          </w:p>
          <w:p w14:paraId="347144B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支持畸变矫正功能(LDC),开启畸变矫正功能后,输出图像的几何失真、画面畸变应减小;开启畸变矫正功能,几何失真应小于等于9.2%。(提供国家认可的第三方检测机构出具有CMA标识的检测报告复印件并加盖投标人公章)；</w:t>
            </w:r>
          </w:p>
          <w:p w14:paraId="0ADA25B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当以下的智能分析行为达到设定的阈值时,可通过客户端软件或IE浏览器给出报警提示;a)绊线入侵;b)区域入侵;设备支持行为分析触发后联动抓图、录像、目标跟踪、报警上传、发送邮件、辅助输出等多种报警触发方式;设备支持设置6组智能周界规则并进行独立布防,每组的布撤防时间可单独设置,目标在布防区域和布防时间段内出现会触发报警,并联动相关操作;可以对人、机动车、全部(人或机动车)进行检测:支持对智能行为分析目标方向规则进行设置,可设置方向为A-&amp;amp;gt;B、B-&amp;amp;gt;A、A&amp;amp;lt;-&amp;amp;gt;B3种规则;支持灵敏度设置0~10;当小动物、灯光、树叶、气球等非人或机动车目标经过检测区域时,不会触发报警;可对目标大小(像素值)范围进行设置,使设备只对预设大小(像素值)范围内的人员及机动车辆进行检测</w:t>
            </w:r>
          </w:p>
          <w:p w14:paraId="78B63DB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8、环境照度不高于0.5lx,设备开启补光灯,镜头上边缘出现遮挡物或环境雾霾粉尘等干扰物时,设备可自动减弱画面模糊现象；</w:t>
            </w:r>
          </w:p>
          <w:p w14:paraId="26344CF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9、在补光光源关闭的情况下:彩色:≤0.0002lx(AGC ON,RJ4S输出,应能分辨反射式视频矩阵测试卡中彩色色块)</w:t>
            </w:r>
          </w:p>
          <w:p w14:paraId="2683DF8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黑白:≤0.0001lx(AGC ON,RJ45输出,能分辨反射式视频分辨率测试卡中圆形轮廓)；</w:t>
            </w:r>
          </w:p>
          <w:p w14:paraId="4BDAA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10、支持内置MIC；支持DC12V/POE两种供电方式；不低于IP67防护等级；</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48B0FB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E7F57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r>
      <w:tr w14:paraId="4BAF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52340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FF4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双光警戒变焦枪型网络摄像机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6D9D24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1、采用不低于800万像素1/2.7英寸CMOS图像传感器；</w:t>
            </w:r>
          </w:p>
          <w:p w14:paraId="7C761DF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2、最大可输出400万(2688×1520)@25fps；</w:t>
            </w:r>
          </w:p>
          <w:p w14:paraId="4B69834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3、内置高效暖光和红外补光灯，D2255红外监控距离不低于100米，暖光监控距离不低于50米；</w:t>
            </w:r>
          </w:p>
          <w:p w14:paraId="0FD6DEC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4、设备支持自动防闪烁功能,开启该功能后,可以消除闪烁条纹。(提供国家认可的第三方检测机构出具有CMA标识的检测报告复印件并加盖投标人公章)；</w:t>
            </w:r>
          </w:p>
          <w:p w14:paraId="55D88CD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5、支持人脸检测：支持跟踪，支持优选，支持抓拍，支持上报最优的人脸抓图，支持人脸增强，人脸曝光，支持人脸属性提取，支持6种属性，8种表情；</w:t>
            </w:r>
          </w:p>
          <w:p w14:paraId="275D196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6、设备角落亮度均匀性（corners）≥85%，四边亮度均匀性（sides）≥90%。(提供国家认可的第三方检测机构出具有CMA标识的检测报告复印件并加盖投标人公章)；</w:t>
            </w:r>
          </w:p>
          <w:p w14:paraId="453329E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7、支持绊线入侵，区域入侵，快速移动，物品遗留，物品搬移，徘徊检测，人员聚集，停车检测；</w:t>
            </w:r>
          </w:p>
          <w:p w14:paraId="4A662C3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8、支持声光报警联动，当报警产生时，可触发联动声音警报和灯光闪烁；</w:t>
            </w:r>
          </w:p>
          <w:p w14:paraId="43E64BE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9、支持在web界面中设置车牌指定位号匹配规则,当检测到的号牌匹配该规则时,联动报警事件。(提供国家认可的第三方检测机构出具有CMA标识的检测报告复印件并加盖投标人公章)；</w:t>
            </w:r>
          </w:p>
          <w:p w14:paraId="15F18FF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10、设备具有精准搜索功能，开启后可检测分析画面中人体各类特征后形成结构化数据上传后端；</w:t>
            </w:r>
          </w:p>
          <w:p w14:paraId="492F383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11、设备支持一键诊断网络工况、运行工况;支持网络抓包、运行日志导出；</w:t>
            </w:r>
          </w:p>
          <w:p w14:paraId="7489D10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12、设备具有≥报警2进2出，≥音频1进1出，支持不小于512GMicroSD卡，内置麦克和扬声器；</w:t>
            </w:r>
          </w:p>
          <w:p w14:paraId="153BECC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13、支持DC12V/POE两种供电方式；</w:t>
            </w:r>
          </w:p>
          <w:p w14:paraId="7321D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14、不低于IP67防护等级；</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C64ABC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58D84E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r>
      <w:tr w14:paraId="134B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30CE3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05A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网络存储</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5C922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采用≥64位多核高性能处理器，1+1冗余电源，≥48盘位，支持≥24TB硬盘，支持硬盘热插拔；</w:t>
            </w:r>
          </w:p>
          <w:p w14:paraId="0D183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≥4个千兆数据网口，≥1个百兆管理网口，支持扩展≥2个千兆数据网口；≥1个HDMI，≥4个USB，≥1个eSATA，≥1个RS232；支持RAID0/1/5/6/10/50/60，SRAID，支持全局热备和局部热备盘；</w:t>
            </w:r>
          </w:p>
          <w:p w14:paraId="60A7B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支持≥450路H.264/H.265混合接入，网络带宽≥1024Mbps接入，≥1024Mbps存储，≥1024Mbps转发；</w:t>
            </w:r>
          </w:p>
          <w:p w14:paraId="35CEC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可通过ONVIF、RTSP、视图库、主动注册等协议管理不同厂家前端摄像头，实现视频存储；支持通过IPSAN、NAS（Samba、FTP、NFS）、视频直存模式访问存储资源；支持iSCSI客户端模式，访问第三方存储资源，增加存储空间，延长存储周期；支持硬盘健康状态监测，定期巡检，针对异常硬盘风险预警，支持系统盘、风扇、电源等异常告警；可结合硬盘状态、RAID配置、存储模式、网络状态、录像状态等信息，智能诊断用户配置合规性，保障整机可靠运行；可配合智能前端摄像头，实现结构化告警、周界告警、入户电梯告警等多种报警事件、图片透传平台；支持关键录像加锁，确保不被循环覆盖；支持N+M集群模式，可实现单台或多台设备故障时，故障设备业务自动迁移到其它健康设备上，保障业务不中断；可在客户端界面查看数据重构状态，设备的磁盘或节点离线并重新插回后，可在界面显示离线磁盘或节点的数据重构过程，离线前数据不丢失；可将录制的视频图像进行合并， 并支持延迟摄影视频的预览及下载， 支持按照自定义的时间间隔抽帧生成视频；</w:t>
            </w:r>
          </w:p>
          <w:p w14:paraId="42A44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支持硬盘错误灯提示功能，当系统检查到硬盘损坏、坏块太多、读写大量异常或者无法获取硬盘信息等问题，硬盘会被定义为错误盘，通过用户界面硬盘位标识为红色，硬件上硬盘灯也显示为红色长亮；(提供国家认可的第三方检测机构出具有CMA标识的检测报告复印件并加盖投标人公章)</w:t>
            </w:r>
          </w:p>
          <w:p w14:paraId="0CFEFFAB">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6</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可通过浏览器进行视频浏览、回放和下载；并支持多画面同时段录像同时回放，或不同时段录像同时回放；网络下载录像速度不低于150MB/s；设备可接入双音轨，可同时或分别播放左右音轨</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161C23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3613B35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r w14:paraId="572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8AA8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0220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硬盘</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E1EA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1、单盘容量不低于10TB；缓存≥256MB；</w:t>
            </w:r>
          </w:p>
          <w:p w14:paraId="4785D40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、转速不低于7200RPM；硬盘接口：SATA</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1458A3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6D0BF8C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r>
      <w:tr w14:paraId="6321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2F2E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2294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监控平台服务器</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2235F6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1、支持对菜单名称、图标、源菜单路径， 打开方式，业务描述进行管理，打开方式包含：内部页签打开，浏览器页签及新窗口打开；(提供国家认可的第三方检测机构出具有CMA标识的检测报告复印件并加盖投标人公章)；</w:t>
            </w:r>
          </w:p>
          <w:p w14:paraId="1629A78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2、支持与硬件指纹信息绑定的根密钥、工作密钥保护，可自动进行密钥、证书获取、管理与硬件指纹信息的复杂参数配置；</w:t>
            </w:r>
          </w:p>
          <w:p w14:paraId="1CB103A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3、支持全数据加密存储，数据库文件只能在本机读取；</w:t>
            </w:r>
          </w:p>
          <w:p w14:paraId="1DCD6E4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综合管理平台支持安全数据库数据概览：支持展示安全运行时间、守护数据总数、守护数据内存、守护表总数；支持按周/按月图形化展示新增保护记录数统计情况；支持按周/按月图形化展示数据库加密解密计算次数统计情况。(提供国家认可的第三方检测机构出具有CMA标识的检测报告复印件并加盖投标人公章)；</w:t>
            </w:r>
          </w:p>
          <w:p w14:paraId="226533D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客户端全局水印配置功能，支持配置客户端水印的启用/停用、水印内容、水印方向、水印密度、水印透明度参数。水印内容支持使用姓名、证件号码后6位、人员编号后6位、用户名任意一个或者两个字段组合显示；(提供国家认可的第三方检测机构出具有CMA标识的检测报告复印件并加盖投标人公章)；</w:t>
            </w:r>
          </w:p>
          <w:p w14:paraId="3844D7B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6、支持对 UPS 市电断电/市电恢复报警事件进行管理，并配置报警预案及对应的事件联动动作，并在客户端、APP、管理端事件中心可以查询和处理；</w:t>
            </w:r>
          </w:p>
          <w:p w14:paraId="6B5670D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7、支持自定义修改设备通道类型、通道数量；</w:t>
            </w:r>
          </w:p>
          <w:p w14:paraId="1F43BA1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8、支持设置设备和通道的能力，通道能力包括目标抓拍、主从跟踪、人脸抓拍、人员识别、人数统计、全景画面；</w:t>
            </w:r>
          </w:p>
          <w:p w14:paraId="104CBC3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9、支持根据当前系统具备的业务组件， 动态加载车辆信息的业务字段；</w:t>
            </w:r>
          </w:p>
          <w:p w14:paraId="718B889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10、支持自动加载新增业务组件具备的车辆业务字段；</w:t>
            </w:r>
          </w:p>
          <w:p w14:paraId="158DE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11、支持对添加/导入的人员头像进行人脸图片质量检测，可返回不合格的照片原因记录；</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A00ED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8FC848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r w14:paraId="018F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D5E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972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大模型大神算系列</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B4D335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1、≥8盘位，可满配≥16TB硬盘，支持RAID0/1/5/6/10/50/60，支持全局热备盘；</w:t>
            </w:r>
          </w:p>
          <w:p w14:paraId="062297A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2、≥1路VGA输出，≥4路HDMI输出，支持≥1个4K显示输出,≥4个10/100/1000Mbps自适应以太网口；</w:t>
            </w:r>
          </w:p>
          <w:p w14:paraId="29F90C3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3、支持≥128路H.264/H.265混合接入，网络带宽≥512Mbps接入；≥512Mbps存储；≥512Mbps转发；</w:t>
            </w:r>
          </w:p>
          <w:p w14:paraId="0B42CE9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4、支持≥28个1080P解码显示输出，支持Smart H.265;H.265;Smart H.264;H.264混合解码；</w:t>
            </w:r>
          </w:p>
          <w:p w14:paraId="48607A5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选配≥8类算法,包含人脸、通用行为分析、视频结构化、穿戴检测，消防通道占用、车辆违停、电瓶车进电梯、岗位行为分析、人员行为分析、人数统计、高空抛物检测、物品监控等，支持展示所有安装的算法及版本，展示算法状态，可对已安装的算法进行手动更新；</w:t>
            </w:r>
          </w:p>
          <w:p w14:paraId="6C089B3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6、设备内置≥2颗高性能GPU，单颗GPU算力≥22TOPS（int8），每颗GPU可虚拟成≥4个智能引擎；</w:t>
            </w:r>
          </w:p>
          <w:p w14:paraId="5612284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7、文搜图：支持一句话检索图片和关联录像，单GPU支持≥16路1080p或400万分辨率图片流分析，并发解析能力≥4张/秒；</w:t>
            </w:r>
          </w:p>
          <w:p w14:paraId="3215BAD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8、文本布控：支持一句话生成算法，单GPU支持≥16路1080p或400万分辨率图片流分析，并发解析能力≥4张/秒；</w:t>
            </w:r>
          </w:p>
          <w:p w14:paraId="74B2FE5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9、支持利用大模型对分析结果进行二次研判；支持去除误报和增补漏报两种模式；经过二次研判的结果均自动打标，包括正报、疑似误报、漏报三种状态，支持人工复核;（提供具备 CNAS 或 CMA 认证的检测机构出具的检测报告复印件）；</w:t>
            </w:r>
          </w:p>
          <w:p w14:paraId="639C1EC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支持利用大模型进行算法生成以及配置预警功能，输入指定文本可自定义生成算法，可选择通道部署自定义算法模型，实现定时抓图/事件图片分析，相似度达到阈值时及时触发报警，支持联动录像抓图、蜂鸣报警、预置点、邮件、本地报警输出、IPC 报警输出、门禁、语音提示以及日志记录;（提供具备 CNAS 或 CMA 认证的检测机构出具的检测报告复印件）；</w:t>
            </w:r>
          </w:p>
          <w:p w14:paraId="652C7E4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11、支持以图搜图，支持批量上传 ≥50 张人脸图片，并同时对≥ 10 张目标人脸进行相似图片搜索；支持智能关联可信度高的人脸图片进行二次检索，将关联的人脸和人体的以图搜图的结果同时显示;（提供具备 CNAS 或 CMA 认证的检测机构出具的检测报告复印件）；</w:t>
            </w:r>
          </w:p>
          <w:p w14:paraId="04C27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12、支持联动录像，抓图，日志，蜂鸣，邮件，预置点，本地报警输出，IPC报警输出，门禁，语音播报，声光报警联动；</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7162B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3B6473E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r w14:paraId="1BE6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27490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865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显示器</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B3410D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1、采用液晶面板，LED背光源，满足7*24小时连续工作；</w:t>
            </w:r>
          </w:p>
          <w:p w14:paraId="7D4B25B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2、屏幕尺寸≥43寸，不低于1080P高清显示；</w:t>
            </w:r>
          </w:p>
          <w:p w14:paraId="72FDB2F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3、支持HDMI、VGA、AUDIO、USB多种信号输入；</w:t>
            </w:r>
          </w:p>
          <w:p w14:paraId="6B1B0D5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4、支持旋钮按键、红外遥控双重控制；</w:t>
            </w:r>
          </w:p>
          <w:p w14:paraId="389CB31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5、内置高性能电源设计，能耗低，静音；</w:t>
            </w:r>
          </w:p>
          <w:p w14:paraId="64F64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6、支持自动消除残影功能，保护液晶屏的长期使用；</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F41D09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CBEC53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r w14:paraId="49F2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599E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60C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核心交换机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54C7E54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1、设备提供10/100/1000BASE-T电口≥24个，100M/1000Mbps SFP光口≥4个；</w:t>
            </w:r>
          </w:p>
          <w:p w14:paraId="59AA765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2、交换容量≥336Gbps；包转发率≥51Mpps；</w:t>
            </w:r>
          </w:p>
          <w:p w14:paraId="3F493AC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3、支持STP/RSTP/MSTP环网技术；</w:t>
            </w:r>
          </w:p>
          <w:p w14:paraId="5095499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4、支持基于L2/L3/L4的ACL流识别与过滤安全机制；</w:t>
            </w:r>
          </w:p>
          <w:p w14:paraId="5458A4E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5、支持对组播、广播、未知单播报文的抑制功能；</w:t>
            </w:r>
          </w:p>
          <w:p w14:paraId="773DF37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6、支持ICMPv6、DHCPv6、ACLv6、IPv6 Telnet等IPv6协议；</w:t>
            </w:r>
          </w:p>
          <w:p w14:paraId="6389F91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7、支持通过管理平台、手机对交换机进行远程控制和状态查看、系统拓扑展示及管理、远程升级和重启(提供具有CNAS或CMA标识第三方机构的检测报告复印件并加盖投标人公章)；</w:t>
            </w:r>
          </w:p>
          <w:p w14:paraId="12C856C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8、支持通过管理平对交换机间不同的连接方式进行系统拓扑识别，包括网线连接、光纤连接、无线连接(提供具有CNAS或CMA标识第三方机构的检测报告复印件并加盖投标人公章)；</w:t>
            </w:r>
          </w:p>
          <w:p w14:paraId="02BEC232">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9、支持通过管理平台展示链路详情、包括传输速率、链路两端设备信息和链路带宽告警(提供具有CNAS或CMA标识第三方机构的检测报告复印件并加盖投标人公章)；</w:t>
            </w:r>
          </w:p>
          <w:p w14:paraId="24C6300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10、支持通过管理平台、手机在网络拓扑中展示交换机详情，包括基本信息、性能使用信息、交换机面板状态、端口信息(提供具有CNAS或CMA标识第三方机构的检测报告复印件并加盖投标人公章)；</w:t>
            </w:r>
          </w:p>
          <w:p w14:paraId="61DF4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11、支持通过管理平台、手机在系统异常时实时推送交换机告警信息并展示告警内容(提供具有CNAS或CMA标识第三方机构的检测报告复印件并加盖投标人公章)；</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9A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518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w:t>
            </w:r>
          </w:p>
        </w:tc>
      </w:tr>
      <w:tr w14:paraId="1B6B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5014C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F82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汇聚交换机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CDF8D3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1、设备提供10/100/1000Mbps PoE电口≥24个，10/100/1000Mbps 电口≥2个，1G SFP光口≥2个；</w:t>
            </w:r>
          </w:p>
          <w:p w14:paraId="1A7D886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2、交换容量≥56Gbps；包转发率≥41Mpps；</w:t>
            </w:r>
          </w:p>
          <w:p w14:paraId="6851C8D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3、最少两个端口支持最大功率≥90W，总功率≥375W；</w:t>
            </w:r>
          </w:p>
          <w:p w14:paraId="40E3B7A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4、IEEE802.3af/ IEEE802.3at//IEEE802.3bt 协议；</w:t>
            </w:r>
          </w:p>
          <w:p w14:paraId="334C37C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5、支持PoE传输供电距离≥250米；</w:t>
            </w:r>
          </w:p>
          <w:p w14:paraId="42D72CF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6、当端口对应IPC出现故障时，支持自动检测并对故障端口进行重启(提供具有CNAS或CMA标识第三方机构的检测报告复印件并加盖投标人公章)；</w:t>
            </w:r>
          </w:p>
          <w:p w14:paraId="7BD787B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7、单个PoE端口超出最大输出功率时应能自动掉电(提供具有CNAS或CMA标识第三方机构的检测报告复印件并加盖投标人公章)；</w:t>
            </w:r>
          </w:p>
          <w:p w14:paraId="04019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8、整机超出额定功率时，应能按端口序号从后往前断电，直至达到额定输出功率范围内(提供具有CNAS或CMA标识第三方机构的检测报告复印件并加盖投标人公章)；</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63D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5C7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w:t>
            </w:r>
          </w:p>
        </w:tc>
      </w:tr>
      <w:tr w14:paraId="4E48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4E013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80C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汇聚交换机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B327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1、设备提供10/100/1000Mbps自适应PoE电口≥16个，1G SFP光口≥2个；</w:t>
            </w:r>
          </w:p>
          <w:p w14:paraId="37B29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2、交换容量≥40Gbps；包转发率≥ 29Mbps；</w:t>
            </w:r>
          </w:p>
          <w:p w14:paraId="24939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3、整机最大PoE输出功率≥240w；</w:t>
            </w:r>
          </w:p>
          <w:p w14:paraId="6B23AABE">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4、PoE远距离供电：支持通过300米网线进行POE供电；(提供具有CNAS或CMA标识第三方机构的检测报告复印件并加盖投标人公章)</w:t>
            </w:r>
            <w:r>
              <w:rPr>
                <w:rFonts w:hint="eastAsia" w:ascii="宋体" w:hAnsi="宋体" w:cs="宋体"/>
                <w:i w:val="0"/>
                <w:iCs w:val="0"/>
                <w:color w:val="000000"/>
                <w:sz w:val="20"/>
                <w:szCs w:val="20"/>
                <w:u w:val="none"/>
                <w:lang w:eastAsia="zh-CN"/>
              </w:rPr>
              <w:t>；</w:t>
            </w:r>
          </w:p>
          <w:p w14:paraId="43D628D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5、PoE功率管理功能：单个POE端口超出最大输出功率时应能自动断电；(提供具有CNAS或CMA标识第三方机构的检测报告复印件并加盖投标人公章)</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7C7CA6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CADCBD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r>
      <w:tr w14:paraId="27BC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5E629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45A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接入交换机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44F908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1、交换容量≥26Gbps，包转发率≥19Mpps；</w:t>
            </w:r>
          </w:p>
          <w:p w14:paraId="1C36105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2、设备提供10/100/1000Mbps自适应PoE电口≥8个，10/100/1000Mbps自适应上行电口≥1个，1G SFP光口≥1个；</w:t>
            </w:r>
          </w:p>
          <w:p w14:paraId="744FCB1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3、整机最大PoE供电功率≥65W；</w:t>
            </w:r>
          </w:p>
          <w:p w14:paraId="53C853B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4、支持250米远距离供电，支持PoE看门狗功能；</w:t>
            </w:r>
          </w:p>
          <w:p w14:paraId="2544F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5、工作温度：0℃～40℃；雷电防护：共模 4KV；</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B973C5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415D40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r>
      <w:tr w14:paraId="5E58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FC3F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9BE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接入交换机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03F5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1、交换容量≥12Gbps，包转发率≥8Mpps；</w:t>
            </w:r>
          </w:p>
          <w:p w14:paraId="56C2B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2、设备提供10/100/1000Mbps自适应PoE电口≥4个，10/100/1000Mbps自适应上行电口≥2个；</w:t>
            </w:r>
          </w:p>
          <w:p w14:paraId="5A74E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3、整机最大PoE供电功率≥65W；</w:t>
            </w:r>
          </w:p>
          <w:p w14:paraId="1A4C8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4、支持250米远距离供电，支持PoE看门狗功能；</w:t>
            </w:r>
          </w:p>
          <w:p w14:paraId="625E2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5、工作温度：0℃～40℃；雷电防护：共模 4KV；</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CFB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1D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w:t>
            </w:r>
          </w:p>
        </w:tc>
      </w:tr>
      <w:tr w14:paraId="557C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E81F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E73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光纤收发器</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5474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1、设备提供10/100/1000Mbps电口≥1个，1G SFP SC光口≥1个；</w:t>
            </w:r>
          </w:p>
          <w:p w14:paraId="7067E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2、支持单模单纤；</w:t>
            </w:r>
          </w:p>
          <w:p w14:paraId="6BF73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3、最大传输距离不低于20kM；</w:t>
            </w:r>
          </w:p>
          <w:p w14:paraId="4F73F27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4、防护等级不低于IP30</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93E617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6933A8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r>
      <w:tr w14:paraId="7C53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A6E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C02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网线</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D3DA49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1、抗拉、抗扭、耐磨、防水、撕裂绳自剥皮线缆设计特性，减少线缆安装过程中的各种潜在风险</w:t>
            </w:r>
            <w:r>
              <w:rPr>
                <w:rFonts w:hint="eastAsia" w:ascii="宋体" w:hAnsi="宋体" w:cs="宋体"/>
                <w:i w:val="0"/>
                <w:iCs w:val="0"/>
                <w:color w:val="000000"/>
                <w:sz w:val="20"/>
                <w:szCs w:val="20"/>
                <w:u w:val="none"/>
                <w:lang w:eastAsia="zh-CN"/>
              </w:rPr>
              <w:t>；</w:t>
            </w:r>
          </w:p>
          <w:p w14:paraId="6B89D65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2、CAT6 传输带宽250MHZ，推荐用于千兆传输</w:t>
            </w:r>
            <w:r>
              <w:rPr>
                <w:rFonts w:hint="eastAsia" w:ascii="宋体" w:hAnsi="宋体" w:cs="宋体"/>
                <w:i w:val="0"/>
                <w:iCs w:val="0"/>
                <w:color w:val="000000"/>
                <w:sz w:val="20"/>
                <w:szCs w:val="20"/>
                <w:u w:val="none"/>
                <w:lang w:eastAsia="zh-CN"/>
              </w:rPr>
              <w:t>；</w:t>
            </w:r>
          </w:p>
          <w:p w14:paraId="161D6CC6">
            <w:pPr>
              <w:keepNext w:val="0"/>
              <w:keepLines w:val="0"/>
              <w:widowControl/>
              <w:suppressLineNumbers w:val="0"/>
              <w:jc w:val="left"/>
              <w:textAlignment w:val="center"/>
              <w:rPr>
                <w:rFonts w:hint="eastAsia" w:ascii="宋体" w:hAnsi="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3、导体采用无氧铜，符合国家标准：GB/T3953，传输衰减小、延时低</w:t>
            </w:r>
            <w:r>
              <w:rPr>
                <w:rFonts w:hint="eastAsia" w:ascii="宋体" w:hAnsi="宋体" w:cs="宋体"/>
                <w:i w:val="0"/>
                <w:iCs w:val="0"/>
                <w:color w:val="000000"/>
                <w:sz w:val="20"/>
                <w:szCs w:val="20"/>
                <w:u w:val="none"/>
                <w:lang w:eastAsia="zh-CN"/>
              </w:rPr>
              <w:t>；</w:t>
            </w:r>
          </w:p>
          <w:p w14:paraId="775EBD2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4、阻燃性能符合国家标准：GB/T 18380.22</w:t>
            </w:r>
            <w:r>
              <w:rPr>
                <w:rFonts w:hint="eastAsia" w:ascii="宋体" w:hAnsi="宋体" w:cs="宋体"/>
                <w:i w:val="0"/>
                <w:iCs w:val="0"/>
                <w:color w:val="000000"/>
                <w:sz w:val="20"/>
                <w:szCs w:val="20"/>
                <w:u w:val="none"/>
                <w:lang w:eastAsia="zh-CN"/>
              </w:rPr>
              <w:t>；</w:t>
            </w:r>
          </w:p>
          <w:p w14:paraId="4549DDBC">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5、绿色环保，所用材料均符合RoHS</w:t>
            </w:r>
            <w:r>
              <w:rPr>
                <w:rFonts w:hint="eastAsia" w:ascii="宋体" w:hAnsi="宋体" w:cs="宋体"/>
                <w:i w:val="0"/>
                <w:iCs w:val="0"/>
                <w:color w:val="000000"/>
                <w:sz w:val="20"/>
                <w:szCs w:val="20"/>
                <w:u w:val="none"/>
                <w:lang w:eastAsia="zh-CN"/>
              </w:rPr>
              <w:t>；</w:t>
            </w:r>
          </w:p>
          <w:p w14:paraId="18C8D13A">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6、线缆长度不少于305米/箱</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CB31FD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箱</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30465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auto"/>
                <w:sz w:val="20"/>
                <w:szCs w:val="20"/>
                <w:u w:val="none"/>
                <w:lang w:val="en-US" w:eastAsia="zh-CN"/>
              </w:rPr>
              <w:t>35</w:t>
            </w:r>
          </w:p>
        </w:tc>
      </w:tr>
      <w:tr w14:paraId="7C41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3102E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A34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电源线</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3851D4B">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国标RVV3*1.5</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94A7FC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米</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6358384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5200</w:t>
            </w:r>
          </w:p>
        </w:tc>
      </w:tr>
      <w:tr w14:paraId="25A7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41C4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B86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光纤线</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1F714CC">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8芯室外光纤</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B43B4F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米</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55C5293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8600</w:t>
            </w:r>
          </w:p>
        </w:tc>
      </w:tr>
      <w:tr w14:paraId="76F4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4DAEF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3AA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光纤收发器机箱</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44663E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1、机箱不低于19英寸</w:t>
            </w:r>
            <w:r>
              <w:rPr>
                <w:rFonts w:hint="eastAsia" w:ascii="宋体" w:hAnsi="宋体" w:cs="宋体"/>
                <w:i w:val="0"/>
                <w:iCs w:val="0"/>
                <w:color w:val="000000"/>
                <w:sz w:val="20"/>
                <w:szCs w:val="20"/>
                <w:u w:val="none"/>
                <w:lang w:eastAsia="zh-CN"/>
              </w:rPr>
              <w:t>；</w:t>
            </w:r>
          </w:p>
          <w:p w14:paraId="4271F68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2、支持2U插卡式机箱，≥14槽</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支持双电源</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622BD9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E8293C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r w14:paraId="5609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2904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2F2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枪机支架</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221E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外观颜色：白色；承重≥l1.0kg；</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89D56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根</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F5D8BD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70</w:t>
            </w:r>
          </w:p>
        </w:tc>
      </w:tr>
      <w:tr w14:paraId="13EC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4B50A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669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光纤终端ODF</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124D6DB4">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机架式</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B8236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360C3C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r w14:paraId="47F5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AD6E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422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光纤熔接盒</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38B6A1E">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8进8出</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8AC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4048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12</w:t>
            </w:r>
          </w:p>
        </w:tc>
      </w:tr>
      <w:tr w14:paraId="10CE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F85D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13C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尾纤</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1722426F">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SC1.5米</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A7B7D2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根</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118F21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160</w:t>
            </w:r>
          </w:p>
        </w:tc>
      </w:tr>
      <w:tr w14:paraId="48E8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B431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9E76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室内机柜交接箱</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DF6E58A">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尺寸：300*600；材质：金属</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33573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个</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6FF590E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r>
      <w:tr w14:paraId="7E97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6C762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C52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室外不锈钢交接箱</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B308E23">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尺寸：300*600；材质：不锈钢</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EB1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C55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4</w:t>
            </w:r>
          </w:p>
        </w:tc>
      </w:tr>
      <w:tr w14:paraId="0CD1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30F00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EAC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PVC管</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C44EDF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材质：PVC；直径：20管</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CFC82D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米</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12A8604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9500</w:t>
            </w:r>
          </w:p>
        </w:tc>
      </w:tr>
      <w:tr w14:paraId="2C6E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8AE4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09B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拆装旧设备</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167E9BB1">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旧设备含摄像机，汇聚点光纤，厨房、门卫、磅秤等接入局域网等</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7E39248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批</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1C8FB51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r>
    </w:tbl>
    <w:p w14:paraId="7A6F14E8">
      <w:pPr>
        <w:pStyle w:val="2"/>
        <w:spacing w:after="240" w:afterLines="100"/>
        <w:ind w:firstLine="420" w:firstLineChars="200"/>
        <w:rPr>
          <w:rFonts w:hint="eastAsia"/>
          <w:color w:val="auto"/>
          <w:highlight w:val="none"/>
        </w:rPr>
      </w:pPr>
    </w:p>
    <w:p w14:paraId="591E8FD7">
      <w:pPr>
        <w:outlineLvl w:val="1"/>
        <w:rPr>
          <w:rFonts w:hint="eastAsia" w:ascii="宋体" w:hAnsi="宋体"/>
          <w:b/>
          <w:color w:val="auto"/>
          <w:sz w:val="32"/>
          <w:highlight w:val="none"/>
        </w:rPr>
      </w:pPr>
      <w:bookmarkStart w:id="59" w:name="_Toc1469"/>
      <w:bookmarkStart w:id="60" w:name="_Toc7453"/>
      <w:bookmarkStart w:id="61" w:name="_Toc91771162"/>
      <w:r>
        <w:rPr>
          <w:rFonts w:hint="eastAsia" w:ascii="宋体" w:hAnsi="宋体"/>
          <w:b/>
          <w:color w:val="auto"/>
          <w:sz w:val="32"/>
          <w:highlight w:val="none"/>
          <w:lang w:eastAsia="zh-CN"/>
        </w:rPr>
        <w:t>三</w:t>
      </w:r>
      <w:r>
        <w:rPr>
          <w:rFonts w:hint="eastAsia" w:ascii="宋体" w:hAnsi="宋体"/>
          <w:b/>
          <w:color w:val="auto"/>
          <w:sz w:val="32"/>
          <w:highlight w:val="none"/>
        </w:rPr>
        <w:t>、商务要求</w:t>
      </w:r>
      <w:bookmarkEnd w:id="59"/>
      <w:bookmarkEnd w:id="60"/>
      <w:bookmarkEnd w:id="61"/>
    </w:p>
    <w:p w14:paraId="62C38B32">
      <w:pPr>
        <w:pStyle w:val="2"/>
        <w:spacing w:after="240" w:afterLines="100"/>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（一）供货期限为签订合同后10日内完成。</w:t>
      </w:r>
    </w:p>
    <w:p w14:paraId="173ABCF1">
      <w:pPr>
        <w:pStyle w:val="2"/>
        <w:spacing w:after="240" w:afterLines="100"/>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（二）付款方式：采购人完成验收后，供应商按要求提供增值税普通发票，采购人在15个工作日内一次性全额支付合同价款。</w:t>
      </w:r>
    </w:p>
    <w:permEnd w:id="66"/>
    <w:p w14:paraId="5EAD79C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62" w:name="_Toc1938"/>
      <w:bookmarkStart w:id="63" w:name="_Toc91771163"/>
      <w:bookmarkStart w:id="64" w:name="_Toc15164"/>
      <w:r>
        <w:rPr>
          <w:rFonts w:hint="eastAsia" w:ascii="黑体" w:hAnsi="黑体" w:eastAsia="黑体"/>
          <w:color w:val="auto"/>
          <w:sz w:val="36"/>
          <w:highlight w:val="none"/>
        </w:rPr>
        <w:t>第四章 响应文件格式</w:t>
      </w:r>
      <w:bookmarkEnd w:id="62"/>
      <w:bookmarkEnd w:id="63"/>
      <w:bookmarkEnd w:id="64"/>
    </w:p>
    <w:p w14:paraId="4037ED6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BBC76E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highlight w:val="none"/>
        </w:rPr>
      </w:pPr>
    </w:p>
    <w:p w14:paraId="6A0EF29C">
      <w:pPr>
        <w:jc w:val="center"/>
        <w:rPr>
          <w:rFonts w:hint="eastAsia"/>
          <w:b/>
          <w:color w:val="auto"/>
          <w:sz w:val="32"/>
          <w:szCs w:val="32"/>
          <w:highlight w:val="none"/>
        </w:rPr>
      </w:pPr>
    </w:p>
    <w:p w14:paraId="14E0B505">
      <w:pPr>
        <w:rPr>
          <w:rFonts w:hint="eastAsia" w:ascii="宋体"/>
          <w:b/>
          <w:color w:val="auto"/>
          <w:sz w:val="32"/>
          <w:szCs w:val="32"/>
          <w:highlight w:val="none"/>
        </w:rPr>
      </w:pPr>
      <w:r>
        <w:rPr>
          <w:b/>
          <w:color w:val="auto"/>
          <w:sz w:val="32"/>
          <w:szCs w:val="32"/>
          <w:highlight w:val="none"/>
        </w:rPr>
        <w:br w:type="page"/>
      </w:r>
      <w:permStart w:id="67" w:edGrp="everyone"/>
      <w:r>
        <w:rPr>
          <w:rFonts w:hint="eastAsia" w:ascii="宋体"/>
          <w:b/>
          <w:color w:val="auto"/>
          <w:sz w:val="32"/>
          <w:szCs w:val="32"/>
          <w:highlight w:val="none"/>
        </w:rPr>
        <w:t>采购编号：</w:t>
      </w:r>
      <w:r>
        <w:rPr>
          <w:rFonts w:hint="eastAsia" w:ascii="Times New Roman" w:hAnsi="Times New Roman" w:eastAsia="宋体" w:cs="Times New Roman"/>
          <w:b/>
          <w:color w:val="auto"/>
          <w:sz w:val="32"/>
          <w:szCs w:val="32"/>
          <w:highlight w:val="none"/>
          <w:lang w:val="en-US" w:eastAsia="zh-CN"/>
        </w:rPr>
        <w:t>Y</w:t>
      </w:r>
      <w:r>
        <w:rPr>
          <w:rFonts w:hint="eastAsia" w:ascii="Times New Roman" w:hAnsi="Times New Roman" w:eastAsia="宋体" w:cs="Times New Roman"/>
          <w:b/>
          <w:color w:val="auto"/>
          <w:sz w:val="32"/>
          <w:szCs w:val="32"/>
          <w:highlight w:val="none"/>
        </w:rPr>
        <w:t>YCG[2</w:t>
      </w:r>
      <w:r>
        <w:rPr>
          <w:rFonts w:hint="eastAsia" w:cs="Times New Roman"/>
          <w:b/>
          <w:color w:val="auto"/>
          <w:sz w:val="32"/>
          <w:szCs w:val="32"/>
          <w:highlight w:val="none"/>
          <w:lang w:val="en-US" w:eastAsia="zh-CN"/>
        </w:rPr>
        <w:t>025</w:t>
      </w:r>
      <w:r>
        <w:rPr>
          <w:rFonts w:hint="eastAsia" w:ascii="Times New Roman" w:hAnsi="Times New Roman" w:eastAsia="宋体" w:cs="Times New Roman"/>
          <w:b/>
          <w:color w:val="auto"/>
          <w:sz w:val="32"/>
          <w:szCs w:val="32"/>
          <w:highlight w:val="none"/>
        </w:rPr>
        <w:t>]</w:t>
      </w:r>
      <w:r>
        <w:rPr>
          <w:rFonts w:hint="eastAsia"/>
          <w:lang w:val="en-US" w:eastAsia="zh-CN"/>
        </w:rPr>
        <w:t>***</w:t>
      </w:r>
      <w:r>
        <w:rPr>
          <w:rFonts w:hint="eastAsia"/>
          <w:b/>
          <w:color w:val="auto"/>
          <w:sz w:val="32"/>
          <w:szCs w:val="32"/>
          <w:highlight w:val="none"/>
        </w:rPr>
        <w:t>号</w:t>
      </w:r>
    </w:p>
    <w:p w14:paraId="106B3359">
      <w:pPr>
        <w:pStyle w:val="2"/>
        <w:rPr>
          <w:rFonts w:hint="eastAsia"/>
          <w:color w:val="auto"/>
          <w:highlight w:val="none"/>
        </w:rPr>
      </w:pPr>
    </w:p>
    <w:p w14:paraId="600D412D">
      <w:pPr>
        <w:rPr>
          <w:rFonts w:hint="eastAsia" w:ascii="宋体"/>
          <w:b/>
          <w:color w:val="auto"/>
          <w:sz w:val="36"/>
          <w:szCs w:val="36"/>
          <w:highlight w:val="none"/>
        </w:rPr>
      </w:pPr>
    </w:p>
    <w:p w14:paraId="12FF4D1A">
      <w:pPr>
        <w:jc w:val="center"/>
        <w:rPr>
          <w:rFonts w:hint="eastAsia" w:ascii="宋体"/>
          <w:b/>
          <w:color w:val="auto"/>
          <w:sz w:val="52"/>
          <w:szCs w:val="52"/>
          <w:highlight w:val="none"/>
        </w:rPr>
      </w:pPr>
    </w:p>
    <w:p w14:paraId="7458E8F5">
      <w:pPr>
        <w:jc w:val="center"/>
        <w:rPr>
          <w:rFonts w:hint="eastAsia" w:ascii="宋体"/>
          <w:b/>
          <w:color w:val="auto"/>
          <w:sz w:val="52"/>
          <w:szCs w:val="52"/>
          <w:highlight w:val="none"/>
        </w:rPr>
      </w:pPr>
      <w:r>
        <w:rPr>
          <w:rFonts w:hint="eastAsia" w:ascii="宋体" w:hAnsi="Times New Roman" w:eastAsia="宋体" w:cs="Times New Roman"/>
          <w:b/>
          <w:color w:val="auto"/>
          <w:sz w:val="52"/>
          <w:szCs w:val="52"/>
          <w:highlight w:val="none"/>
          <w:lang w:val="en-US" w:eastAsia="zh-CN"/>
        </w:rPr>
        <w:t>“</w:t>
      </w:r>
      <w:r>
        <w:rPr>
          <w:rFonts w:hint="eastAsia" w:ascii="宋体" w:cs="Times New Roman"/>
          <w:b/>
          <w:color w:val="auto"/>
          <w:sz w:val="52"/>
          <w:szCs w:val="52"/>
          <w:highlight w:val="none"/>
          <w:lang w:val="en-US" w:eastAsia="zh-CN"/>
        </w:rPr>
        <w:t>厂区摄像头等相关配件</w:t>
      </w:r>
      <w:r>
        <w:rPr>
          <w:rFonts w:hint="eastAsia" w:ascii="宋体" w:hAnsi="Times New Roman" w:eastAsia="宋体" w:cs="Times New Roman"/>
          <w:b/>
          <w:color w:val="auto"/>
          <w:sz w:val="52"/>
          <w:szCs w:val="52"/>
          <w:highlight w:val="none"/>
          <w:lang w:val="en-US" w:eastAsia="zh-CN"/>
        </w:rPr>
        <w:t>”</w:t>
      </w:r>
      <w:r>
        <w:rPr>
          <w:rFonts w:hint="eastAsia" w:ascii="宋体"/>
          <w:b/>
          <w:color w:val="auto"/>
          <w:sz w:val="52"/>
          <w:szCs w:val="52"/>
          <w:highlight w:val="none"/>
        </w:rPr>
        <w:t>采购项目</w:t>
      </w:r>
    </w:p>
    <w:p w14:paraId="128AF98F">
      <w:pPr>
        <w:pStyle w:val="2"/>
        <w:rPr>
          <w:rFonts w:hint="eastAsia"/>
          <w:color w:val="auto"/>
          <w:highlight w:val="none"/>
        </w:rPr>
      </w:pPr>
    </w:p>
    <w:p w14:paraId="144518E8">
      <w:pPr>
        <w:pStyle w:val="26"/>
        <w:ind w:firstLine="420"/>
        <w:rPr>
          <w:rFonts w:hint="eastAsia"/>
          <w:color w:val="auto"/>
          <w:highlight w:val="none"/>
        </w:rPr>
      </w:pPr>
    </w:p>
    <w:p w14:paraId="568294CF">
      <w:pPr>
        <w:rPr>
          <w:rFonts w:hint="eastAsia"/>
          <w:color w:val="auto"/>
          <w:highlight w:val="none"/>
        </w:rPr>
      </w:pPr>
    </w:p>
    <w:p w14:paraId="59CA69DF">
      <w:pPr>
        <w:rPr>
          <w:rFonts w:hint="eastAsia"/>
          <w:color w:val="auto"/>
          <w:highlight w:val="none"/>
        </w:rPr>
      </w:pPr>
    </w:p>
    <w:p w14:paraId="41828D90">
      <w:pPr>
        <w:rPr>
          <w:rFonts w:hint="eastAsia"/>
          <w:color w:val="auto"/>
          <w:highlight w:val="none"/>
        </w:rPr>
      </w:pPr>
    </w:p>
    <w:p w14:paraId="06B1429E">
      <w:pPr>
        <w:pStyle w:val="2"/>
        <w:rPr>
          <w:rFonts w:hint="eastAsia"/>
          <w:color w:val="auto"/>
          <w:highlight w:val="none"/>
        </w:rPr>
      </w:pPr>
    </w:p>
    <w:p w14:paraId="21762928">
      <w:pPr>
        <w:pStyle w:val="2"/>
        <w:spacing w:line="360" w:lineRule="auto"/>
        <w:rPr>
          <w:rFonts w:hint="eastAsia"/>
          <w:color w:val="auto"/>
          <w:highlight w:val="none"/>
        </w:rPr>
      </w:pPr>
    </w:p>
    <w:p w14:paraId="214728AE">
      <w:pPr>
        <w:spacing w:line="360" w:lineRule="auto"/>
        <w:rPr>
          <w:rFonts w:hint="eastAsia"/>
          <w:color w:val="auto"/>
          <w:highlight w:val="none"/>
        </w:rPr>
      </w:pPr>
    </w:p>
    <w:p w14:paraId="6941743D">
      <w:pPr>
        <w:pStyle w:val="2"/>
        <w:spacing w:line="360" w:lineRule="auto"/>
        <w:rPr>
          <w:rFonts w:hint="eastAsia"/>
          <w:color w:val="auto"/>
          <w:highlight w:val="none"/>
        </w:rPr>
      </w:pPr>
    </w:p>
    <w:p w14:paraId="2DA569D3">
      <w:pPr>
        <w:pStyle w:val="2"/>
        <w:rPr>
          <w:rFonts w:hint="eastAsia"/>
          <w:color w:val="auto"/>
          <w:highlight w:val="none"/>
        </w:rPr>
      </w:pPr>
    </w:p>
    <w:p w14:paraId="3C3BC107">
      <w:pPr>
        <w:spacing w:line="276" w:lineRule="auto"/>
        <w:jc w:val="center"/>
        <w:rPr>
          <w:rFonts w:hint="eastAsia"/>
          <w:b/>
          <w:color w:val="auto"/>
          <w:sz w:val="84"/>
          <w:szCs w:val="84"/>
          <w:highlight w:val="none"/>
        </w:rPr>
      </w:pPr>
      <w:r>
        <w:rPr>
          <w:rFonts w:hint="eastAsia" w:ascii="宋体"/>
          <w:b/>
          <w:color w:val="auto"/>
          <w:sz w:val="84"/>
          <w:szCs w:val="84"/>
          <w:highlight w:val="none"/>
          <w:lang w:eastAsia="zh-CN"/>
        </w:rPr>
        <w:t>询 比</w:t>
      </w:r>
      <w:r>
        <w:rPr>
          <w:rFonts w:hint="eastAsia" w:ascii="宋体"/>
          <w:b/>
          <w:color w:val="auto"/>
          <w:sz w:val="84"/>
          <w:szCs w:val="84"/>
          <w:highlight w:val="none"/>
        </w:rPr>
        <w:t xml:space="preserve"> </w:t>
      </w:r>
      <w:r>
        <w:rPr>
          <w:rFonts w:hint="eastAsia"/>
          <w:b/>
          <w:color w:val="auto"/>
          <w:sz w:val="84"/>
          <w:szCs w:val="84"/>
          <w:highlight w:val="none"/>
        </w:rPr>
        <w:t>响 应 文 件</w:t>
      </w:r>
    </w:p>
    <w:p w14:paraId="05997E57">
      <w:pPr>
        <w:pStyle w:val="2"/>
        <w:rPr>
          <w:rFonts w:hint="eastAsia"/>
          <w:color w:val="auto"/>
          <w:highlight w:val="none"/>
        </w:rPr>
      </w:pPr>
    </w:p>
    <w:p w14:paraId="70B98A77">
      <w:pPr>
        <w:spacing w:line="360" w:lineRule="auto"/>
        <w:jc w:val="center"/>
        <w:rPr>
          <w:rFonts w:hint="eastAsia"/>
          <w:b/>
          <w:color w:val="auto"/>
          <w:sz w:val="28"/>
          <w:szCs w:val="28"/>
          <w:highlight w:val="none"/>
        </w:rPr>
      </w:pPr>
    </w:p>
    <w:p w14:paraId="644346DF">
      <w:pPr>
        <w:spacing w:line="360" w:lineRule="auto"/>
        <w:jc w:val="center"/>
        <w:rPr>
          <w:rFonts w:hint="eastAsia"/>
          <w:b/>
          <w:color w:val="auto"/>
          <w:sz w:val="28"/>
          <w:szCs w:val="28"/>
          <w:highlight w:val="none"/>
        </w:rPr>
      </w:pPr>
    </w:p>
    <w:p w14:paraId="1C23BA00">
      <w:pPr>
        <w:pStyle w:val="2"/>
        <w:rPr>
          <w:rFonts w:hint="eastAsia"/>
          <w:color w:val="auto"/>
          <w:highlight w:val="none"/>
        </w:rPr>
      </w:pPr>
    </w:p>
    <w:p w14:paraId="13A95576">
      <w:pPr>
        <w:pStyle w:val="26"/>
        <w:ind w:firstLine="420"/>
        <w:rPr>
          <w:rFonts w:hint="eastAsia"/>
          <w:color w:val="auto"/>
          <w:highlight w:val="none"/>
        </w:rPr>
      </w:pPr>
    </w:p>
    <w:p w14:paraId="551E5446">
      <w:pPr>
        <w:rPr>
          <w:rFonts w:hint="eastAsia"/>
          <w:color w:val="auto"/>
          <w:highlight w:val="none"/>
        </w:rPr>
      </w:pPr>
    </w:p>
    <w:p w14:paraId="700DA443">
      <w:pPr>
        <w:pStyle w:val="2"/>
        <w:rPr>
          <w:rFonts w:hint="eastAsia"/>
          <w:color w:val="auto"/>
          <w:highlight w:val="none"/>
        </w:rPr>
      </w:pPr>
    </w:p>
    <w:p w14:paraId="6A550476">
      <w:pPr>
        <w:pStyle w:val="26"/>
        <w:ind w:firstLine="420"/>
        <w:rPr>
          <w:rFonts w:hint="eastAsia"/>
          <w:color w:val="auto"/>
          <w:highlight w:val="none"/>
        </w:rPr>
      </w:pPr>
    </w:p>
    <w:p w14:paraId="6F6CC82D">
      <w:pPr>
        <w:rPr>
          <w:rFonts w:hint="eastAsia"/>
          <w:color w:val="auto"/>
          <w:highlight w:val="none"/>
        </w:rPr>
      </w:pPr>
    </w:p>
    <w:p w14:paraId="6BFB8572">
      <w:pPr>
        <w:pStyle w:val="2"/>
        <w:rPr>
          <w:rFonts w:hint="eastAsia"/>
          <w:color w:val="auto"/>
          <w:highlight w:val="none"/>
        </w:rPr>
      </w:pPr>
    </w:p>
    <w:p w14:paraId="3A443C71">
      <w:pPr>
        <w:pStyle w:val="2"/>
        <w:rPr>
          <w:rFonts w:hint="eastAsia"/>
          <w:color w:val="auto"/>
          <w:highlight w:val="none"/>
        </w:rPr>
      </w:pPr>
    </w:p>
    <w:p w14:paraId="270843B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B392B9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C17751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8F8530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5" w:name="_Toc10364"/>
      <w:bookmarkStart w:id="66" w:name="_Toc17620"/>
      <w:bookmarkStart w:id="67" w:name="_Toc91771164"/>
      <w:r>
        <w:rPr>
          <w:rFonts w:hint="eastAsia" w:ascii="黑体" w:hAnsi="黑体" w:eastAsia="黑体" w:cs="Arial"/>
          <w:bCs/>
          <w:color w:val="auto"/>
          <w:sz w:val="32"/>
          <w:szCs w:val="32"/>
          <w:highlight w:val="none"/>
        </w:rPr>
        <w:t>一、报价函</w:t>
      </w:r>
      <w:bookmarkEnd w:id="65"/>
      <w:bookmarkEnd w:id="66"/>
      <w:bookmarkEnd w:id="67"/>
    </w:p>
    <w:p w14:paraId="6C6D24E2">
      <w:pPr>
        <w:spacing w:line="360" w:lineRule="auto"/>
        <w:rPr>
          <w:color w:val="auto"/>
          <w:sz w:val="24"/>
          <w:highlight w:val="none"/>
        </w:rPr>
      </w:pPr>
      <w:r>
        <w:rPr>
          <w:rFonts w:hint="eastAsia"/>
          <w:color w:val="auto"/>
          <w:sz w:val="24"/>
          <w:highlight w:val="none"/>
          <w:lang w:val="en-US" w:eastAsia="zh-CN"/>
        </w:rPr>
        <w:t>泸州市锦阳保安服务有限公司</w:t>
      </w:r>
      <w:r>
        <w:rPr>
          <w:color w:val="auto"/>
          <w:sz w:val="24"/>
          <w:highlight w:val="none"/>
        </w:rPr>
        <w:t>（采购人名称）：</w:t>
      </w:r>
    </w:p>
    <w:p w14:paraId="368E0A41">
      <w:pPr>
        <w:spacing w:line="360" w:lineRule="auto"/>
        <w:ind w:firstLine="480" w:firstLineChars="200"/>
        <w:jc w:val="left"/>
        <w:rPr>
          <w:color w:val="auto"/>
          <w:sz w:val="24"/>
          <w:highlight w:val="none"/>
        </w:rPr>
      </w:pPr>
      <w:r>
        <w:rPr>
          <w:color w:val="auto"/>
          <w:sz w:val="24"/>
          <w:highlight w:val="none"/>
        </w:rPr>
        <w:t>1.我方全面研究了</w:t>
      </w:r>
      <w:r>
        <w:rPr>
          <w:rFonts w:hint="eastAsia"/>
          <w:color w:val="auto"/>
          <w:sz w:val="24"/>
          <w:highlight w:val="none"/>
          <w:lang w:eastAsia="zh-CN"/>
        </w:rPr>
        <w:t>“</w:t>
      </w:r>
      <w:r>
        <w:rPr>
          <w:rFonts w:hint="eastAsia"/>
          <w:color w:val="auto"/>
          <w:sz w:val="24"/>
          <w:highlight w:val="none"/>
          <w:lang w:val="en-US" w:eastAsia="zh-CN"/>
        </w:rPr>
        <w:t>厂区摄像头等相关配件</w:t>
      </w:r>
      <w:r>
        <w:rPr>
          <w:rFonts w:hint="eastAsia"/>
          <w:color w:val="auto"/>
          <w:sz w:val="24"/>
          <w:highlight w:val="none"/>
          <w:lang w:eastAsia="zh-CN"/>
        </w:rPr>
        <w:t>”</w:t>
      </w:r>
      <w:r>
        <w:rPr>
          <w:rFonts w:hint="eastAsia"/>
          <w:color w:val="auto"/>
          <w:sz w:val="24"/>
          <w:highlight w:val="none"/>
          <w:lang w:val="en-US" w:eastAsia="zh-CN"/>
        </w:rPr>
        <w:t>采购</w:t>
      </w:r>
      <w:r>
        <w:rPr>
          <w:color w:val="auto"/>
          <w:sz w:val="24"/>
          <w:highlight w:val="none"/>
        </w:rPr>
        <w:t>项目</w:t>
      </w:r>
      <w:r>
        <w:rPr>
          <w:rFonts w:hint="eastAsia"/>
          <w:color w:val="auto"/>
          <w:sz w:val="24"/>
          <w:highlight w:val="none"/>
          <w:lang w:eastAsia="zh-CN"/>
        </w:rPr>
        <w:t>询比</w:t>
      </w:r>
      <w:r>
        <w:rPr>
          <w:color w:val="auto"/>
          <w:sz w:val="24"/>
          <w:highlight w:val="none"/>
        </w:rPr>
        <w:t>文件（项目编号：</w:t>
      </w:r>
      <w:r>
        <w:rPr>
          <w:rFonts w:hint="eastAsia"/>
          <w:color w:val="auto"/>
          <w:sz w:val="24"/>
          <w:highlight w:val="none"/>
          <w:lang w:val="en-US" w:eastAsia="zh-CN"/>
        </w:rPr>
        <w:t>Y</w:t>
      </w:r>
      <w:r>
        <w:rPr>
          <w:rFonts w:hint="eastAsia"/>
          <w:color w:val="auto"/>
          <w:sz w:val="24"/>
          <w:highlight w:val="none"/>
        </w:rPr>
        <w:t>YCG[2</w:t>
      </w:r>
      <w:r>
        <w:rPr>
          <w:rFonts w:hint="eastAsia"/>
          <w:color w:val="auto"/>
          <w:sz w:val="24"/>
          <w:highlight w:val="none"/>
          <w:lang w:val="en-US" w:eastAsia="zh-CN"/>
        </w:rPr>
        <w:t>025</w:t>
      </w:r>
      <w:r>
        <w:rPr>
          <w:rFonts w:hint="eastAsia"/>
          <w:color w:val="auto"/>
          <w:sz w:val="24"/>
          <w:highlight w:val="none"/>
        </w:rPr>
        <w:t>]</w:t>
      </w:r>
      <w:r>
        <w:rPr>
          <w:rFonts w:hint="eastAsia"/>
          <w:color w:val="auto"/>
          <w:sz w:val="24"/>
          <w:highlight w:val="none"/>
          <w:lang w:val="en-US" w:eastAsia="zh-CN"/>
        </w:rPr>
        <w:t>***</w:t>
      </w:r>
      <w:r>
        <w:rPr>
          <w:rFonts w:hint="eastAsia"/>
          <w:color w:val="auto"/>
          <w:sz w:val="24"/>
          <w:highlight w:val="none"/>
        </w:rPr>
        <w:t>号</w:t>
      </w:r>
      <w:r>
        <w:rPr>
          <w:color w:val="auto"/>
          <w:sz w:val="24"/>
          <w:highlight w:val="none"/>
        </w:rPr>
        <w:t>），决定参加贵单位组织的本项目</w:t>
      </w:r>
      <w:r>
        <w:rPr>
          <w:rFonts w:hint="eastAsia"/>
          <w:color w:val="auto"/>
          <w:sz w:val="24"/>
          <w:highlight w:val="none"/>
          <w:lang w:eastAsia="zh-CN"/>
        </w:rPr>
        <w:t>询比</w:t>
      </w:r>
      <w:r>
        <w:rPr>
          <w:color w:val="auto"/>
          <w:sz w:val="24"/>
          <w:highlight w:val="none"/>
        </w:rPr>
        <w:t>采购。</w:t>
      </w:r>
    </w:p>
    <w:p w14:paraId="15B42853">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14:paraId="2CE3477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F06F8C8">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w:t>
      </w:r>
      <w:r>
        <w:rPr>
          <w:color w:val="auto"/>
          <w:sz w:val="24"/>
          <w:highlight w:val="none"/>
        </w:rPr>
        <w:sym w:font="Wingdings 2" w:char="00A3"/>
      </w:r>
      <w:r>
        <w:rPr>
          <w:color w:val="auto"/>
          <w:sz w:val="24"/>
          <w:highlight w:val="none"/>
        </w:rPr>
        <w:t>电子文件</w:t>
      </w:r>
      <w:r>
        <w:rPr>
          <w:rFonts w:hint="eastAsia"/>
          <w:color w:val="auto"/>
          <w:sz w:val="24"/>
          <w:highlight w:val="none"/>
          <w:u w:val="single"/>
          <w:lang w:val="en-US" w:eastAsia="zh-CN"/>
        </w:rPr>
        <w:t xml:space="preserve"> / </w:t>
      </w:r>
      <w:r>
        <w:rPr>
          <w:color w:val="auto"/>
          <w:sz w:val="24"/>
          <w:highlight w:val="none"/>
        </w:rPr>
        <w:t>份），用于</w:t>
      </w:r>
      <w:r>
        <w:rPr>
          <w:rFonts w:hint="eastAsia"/>
          <w:color w:val="auto"/>
          <w:sz w:val="24"/>
          <w:highlight w:val="none"/>
          <w:lang w:eastAsia="zh-CN"/>
        </w:rPr>
        <w:t>询比</w:t>
      </w:r>
      <w:r>
        <w:rPr>
          <w:color w:val="auto"/>
          <w:sz w:val="24"/>
          <w:highlight w:val="none"/>
        </w:rPr>
        <w:t>报价。</w:t>
      </w:r>
    </w:p>
    <w:p w14:paraId="0C1415DD">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14:paraId="39CF0CC0">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，我方报价为（保留</w:t>
      </w:r>
      <w:r>
        <w:rPr>
          <w:color w:val="auto"/>
          <w:sz w:val="24"/>
          <w:highlight w:val="none"/>
          <w:u w:val="single"/>
        </w:rPr>
        <w:t xml:space="preserve"> </w:t>
      </w:r>
      <w:r>
        <w:rPr>
          <w:rFonts w:hint="eastAsia"/>
          <w:color w:val="auto"/>
          <w:sz w:val="24"/>
          <w:highlight w:val="none"/>
          <w:u w:val="single"/>
          <w:lang w:val="en-US" w:eastAsia="zh-CN"/>
        </w:rPr>
        <w:t>0</w:t>
      </w:r>
      <w:r>
        <w:rPr>
          <w:color w:val="auto"/>
          <w:sz w:val="24"/>
          <w:highlight w:val="none"/>
          <w:u w:val="single"/>
        </w:rPr>
        <w:t xml:space="preserve"> </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rFonts w:hint="eastAsia"/>
          <w:color w:val="auto"/>
          <w:sz w:val="24"/>
          <w:highlight w:val="none"/>
          <w:lang w:eastAsia="zh-CN"/>
        </w:rPr>
        <w:t>）</w:t>
      </w:r>
      <w:r>
        <w:rPr>
          <w:color w:val="auto"/>
          <w:sz w:val="24"/>
          <w:highlight w:val="none"/>
        </w:rPr>
        <w:t xml:space="preserve"> </w:t>
      </w:r>
      <w:r>
        <w:rPr>
          <w:rFonts w:hint="eastAsia"/>
          <w:color w:val="auto"/>
          <w:sz w:val="24"/>
          <w:highlight w:val="none"/>
          <w:lang w:eastAsia="zh-CN"/>
        </w:rPr>
        <w:t>，价格形式为</w:t>
      </w:r>
      <w:r>
        <w:rPr>
          <w:rFonts w:hint="eastAsia"/>
          <w:color w:val="auto"/>
          <w:sz w:val="24"/>
          <w:highlight w:val="none"/>
          <w:lang w:val="en-US" w:eastAsia="zh-CN"/>
        </w:rPr>
        <w:t>固定单价</w:t>
      </w:r>
      <w:r>
        <w:rPr>
          <w:color w:val="auto"/>
          <w:sz w:val="24"/>
          <w:highlight w:val="none"/>
        </w:rPr>
        <w:t>，报价有效期为</w:t>
      </w:r>
      <w:r>
        <w:rPr>
          <w:rFonts w:hint="eastAsia"/>
          <w:color w:val="auto"/>
          <w:sz w:val="24"/>
          <w:highlight w:val="none"/>
          <w:lang w:eastAsia="zh-CN"/>
        </w:rPr>
        <w:t>询比</w:t>
      </w:r>
      <w:r>
        <w:rPr>
          <w:color w:val="auto"/>
          <w:sz w:val="24"/>
          <w:highlight w:val="none"/>
        </w:rPr>
        <w:t>文件规定的起算之日起90天。</w:t>
      </w:r>
    </w:p>
    <w:p w14:paraId="3F0BAFE3">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w:t>
      </w:r>
      <w:r>
        <w:rPr>
          <w:rFonts w:hint="eastAsia" w:ascii="Times New Roman"/>
          <w:color w:val="auto"/>
          <w:sz w:val="24"/>
          <w:highlight w:val="none"/>
          <w:lang w:eastAsia="zh-CN"/>
        </w:rPr>
        <w:t>（工期）</w:t>
      </w:r>
      <w:r>
        <w:rPr>
          <w:rFonts w:ascii="Times New Roman"/>
          <w:color w:val="auto"/>
          <w:sz w:val="24"/>
          <w:highlight w:val="none"/>
        </w:rPr>
        <w:t>：合同签订后</w:t>
      </w:r>
      <w:r>
        <w:rPr>
          <w:rFonts w:ascii="Times New Roman"/>
          <w:color w:val="auto"/>
          <w:sz w:val="24"/>
          <w:highlight w:val="none"/>
          <w:u w:val="single"/>
        </w:rPr>
        <w:t xml:space="preserve"> </w:t>
      </w:r>
      <w:r>
        <w:rPr>
          <w:rFonts w:hint="eastAsia" w:ascii="Times New Roman"/>
          <w:color w:val="auto"/>
          <w:sz w:val="24"/>
          <w:highlight w:val="none"/>
          <w:u w:val="single"/>
          <w:lang w:val="en-US" w:eastAsia="zh-CN"/>
        </w:rPr>
        <w:t>10</w:t>
      </w:r>
      <w:r>
        <w:rPr>
          <w:rFonts w:ascii="Times New Roman"/>
          <w:color w:val="auto"/>
          <w:sz w:val="24"/>
          <w:highlight w:val="none"/>
          <w:u w:val="single"/>
        </w:rPr>
        <w:t xml:space="preserve"> </w:t>
      </w:r>
      <w:r>
        <w:rPr>
          <w:rFonts w:hint="eastAsia" w:ascii="Times New Roman"/>
          <w:color w:val="auto"/>
          <w:sz w:val="24"/>
          <w:highlight w:val="none"/>
          <w:u w:val="none"/>
          <w:lang w:eastAsia="zh-CN"/>
        </w:rPr>
        <w:t>日历天</w:t>
      </w:r>
      <w:r>
        <w:rPr>
          <w:rFonts w:ascii="Times New Roman"/>
          <w:color w:val="auto"/>
          <w:sz w:val="24"/>
          <w:highlight w:val="none"/>
        </w:rPr>
        <w:t>内完成</w:t>
      </w:r>
      <w:r>
        <w:rPr>
          <w:rFonts w:ascii="Times New Roman"/>
          <w:color w:val="auto"/>
          <w:kern w:val="2"/>
          <w:sz w:val="24"/>
          <w:szCs w:val="24"/>
          <w:highlight w:val="none"/>
        </w:rPr>
        <w:t>。</w:t>
      </w:r>
    </w:p>
    <w:p w14:paraId="3575E409">
      <w:pPr>
        <w:spacing w:line="360" w:lineRule="auto"/>
        <w:ind w:firstLine="480" w:firstLineChars="200"/>
        <w:jc w:val="left"/>
        <w:rPr>
          <w:color w:val="auto"/>
          <w:sz w:val="24"/>
          <w:highlight w:val="none"/>
        </w:rPr>
      </w:pPr>
    </w:p>
    <w:p w14:paraId="6458F5C0">
      <w:pPr>
        <w:adjustRightInd w:val="0"/>
        <w:spacing w:line="360" w:lineRule="auto"/>
        <w:ind w:firstLine="480" w:firstLineChars="200"/>
        <w:jc w:val="left"/>
        <w:rPr>
          <w:color w:val="auto"/>
          <w:sz w:val="24"/>
          <w:highlight w:val="none"/>
        </w:rPr>
      </w:pPr>
    </w:p>
    <w:p w14:paraId="38946785">
      <w:pPr>
        <w:adjustRightInd w:val="0"/>
        <w:spacing w:line="360" w:lineRule="auto"/>
        <w:ind w:firstLine="480" w:firstLineChars="200"/>
        <w:jc w:val="left"/>
        <w:rPr>
          <w:color w:val="auto"/>
          <w:sz w:val="24"/>
          <w:highlight w:val="none"/>
        </w:rPr>
      </w:pPr>
    </w:p>
    <w:p w14:paraId="1E6CA6F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BFE24C3">
      <w:pPr>
        <w:spacing w:line="360" w:lineRule="auto"/>
        <w:ind w:firstLine="470" w:firstLineChars="196"/>
        <w:rPr>
          <w:color w:val="auto"/>
          <w:sz w:val="24"/>
          <w:highlight w:val="none"/>
        </w:rPr>
      </w:pPr>
      <w:r>
        <w:rPr>
          <w:color w:val="auto"/>
          <w:sz w:val="24"/>
          <w:highlight w:val="none"/>
        </w:rPr>
        <w:t>法定代表人或授权代表（签字或盖章）：XXX</w:t>
      </w:r>
    </w:p>
    <w:p w14:paraId="484B84CE">
      <w:pPr>
        <w:spacing w:line="360" w:lineRule="auto"/>
        <w:ind w:firstLine="470" w:firstLineChars="196"/>
        <w:rPr>
          <w:color w:val="auto"/>
          <w:sz w:val="24"/>
          <w:highlight w:val="none"/>
        </w:rPr>
      </w:pPr>
      <w:r>
        <w:rPr>
          <w:color w:val="auto"/>
          <w:sz w:val="24"/>
          <w:highlight w:val="none"/>
        </w:rPr>
        <w:t>通讯地址：XXX</w:t>
      </w:r>
    </w:p>
    <w:p w14:paraId="0FF1F382">
      <w:pPr>
        <w:spacing w:line="360" w:lineRule="auto"/>
        <w:ind w:firstLine="470" w:firstLineChars="196"/>
        <w:rPr>
          <w:color w:val="auto"/>
          <w:sz w:val="24"/>
          <w:highlight w:val="none"/>
        </w:rPr>
      </w:pPr>
      <w:r>
        <w:rPr>
          <w:color w:val="auto"/>
          <w:sz w:val="24"/>
          <w:highlight w:val="none"/>
        </w:rPr>
        <w:t>邮政编码：XXX</w:t>
      </w:r>
    </w:p>
    <w:p w14:paraId="3F655341">
      <w:pPr>
        <w:spacing w:line="360" w:lineRule="auto"/>
        <w:ind w:firstLine="470" w:firstLineChars="196"/>
        <w:rPr>
          <w:color w:val="auto"/>
          <w:sz w:val="24"/>
          <w:highlight w:val="none"/>
        </w:rPr>
      </w:pPr>
      <w:r>
        <w:rPr>
          <w:color w:val="auto"/>
          <w:sz w:val="24"/>
          <w:highlight w:val="none"/>
        </w:rPr>
        <w:t>联系电话：XXX</w:t>
      </w:r>
    </w:p>
    <w:p w14:paraId="0B721CAB">
      <w:pPr>
        <w:spacing w:line="360" w:lineRule="auto"/>
        <w:ind w:firstLine="470" w:firstLineChars="196"/>
        <w:rPr>
          <w:color w:val="auto"/>
          <w:sz w:val="24"/>
          <w:highlight w:val="none"/>
        </w:rPr>
      </w:pPr>
      <w:r>
        <w:rPr>
          <w:color w:val="auto"/>
          <w:sz w:val="24"/>
          <w:highlight w:val="none"/>
        </w:rPr>
        <w:t>传    真：XXX</w:t>
      </w:r>
    </w:p>
    <w:p w14:paraId="2A238CA5">
      <w:pPr>
        <w:spacing w:line="360" w:lineRule="auto"/>
        <w:ind w:firstLine="470" w:firstLineChars="196"/>
        <w:rPr>
          <w:color w:val="auto"/>
          <w:sz w:val="24"/>
          <w:highlight w:val="none"/>
        </w:rPr>
      </w:pPr>
      <w:r>
        <w:rPr>
          <w:color w:val="auto"/>
          <w:sz w:val="24"/>
          <w:highlight w:val="none"/>
        </w:rPr>
        <w:t>日    期：XXX年XXX月XXX日</w:t>
      </w:r>
    </w:p>
    <w:p w14:paraId="3ABF5ABE">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8" w:name="_Toc7264"/>
      <w:bookmarkStart w:id="69" w:name="_Toc91771165"/>
      <w:bookmarkStart w:id="70" w:name="_Toc8119"/>
      <w:r>
        <w:rPr>
          <w:rFonts w:hint="eastAsia" w:ascii="黑体" w:hAnsi="黑体" w:eastAsia="黑体" w:cs="Arial"/>
          <w:bCs/>
          <w:color w:val="auto"/>
          <w:sz w:val="32"/>
          <w:szCs w:val="32"/>
          <w:highlight w:val="none"/>
        </w:rPr>
        <w:t>二、资格证明</w:t>
      </w:r>
      <w:bookmarkEnd w:id="68"/>
      <w:bookmarkEnd w:id="69"/>
      <w:r>
        <w:rPr>
          <w:rFonts w:hint="eastAsia" w:ascii="黑体" w:hAnsi="黑体" w:eastAsia="黑体" w:cs="Arial"/>
          <w:bCs/>
          <w:color w:val="auto"/>
          <w:sz w:val="32"/>
          <w:szCs w:val="32"/>
          <w:highlight w:val="none"/>
        </w:rPr>
        <w:t>材料</w:t>
      </w:r>
      <w:bookmarkEnd w:id="70"/>
    </w:p>
    <w:p w14:paraId="0FDB7EF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5E47365">
      <w:pPr>
        <w:pStyle w:val="2"/>
        <w:ind w:firstLine="480" w:firstLineChars="200"/>
        <w:rPr>
          <w:rFonts w:hint="default" w:ascii="宋体" w:hAnsi="宋体" w:eastAsia="宋体" w:cs="Times New Roman"/>
          <w:color w:val="auto"/>
          <w:kern w:val="2"/>
          <w:sz w:val="24"/>
          <w:szCs w:val="24"/>
          <w:highlight w:val="none"/>
          <w:lang w:val="en-US" w:eastAsia="zh-CN" w:bidi="ar-SA"/>
        </w:rPr>
      </w:pPr>
    </w:p>
    <w:p w14:paraId="2A9FB1F4">
      <w:pPr>
        <w:pStyle w:val="2"/>
        <w:rPr>
          <w:color w:val="auto"/>
          <w:highlight w:val="none"/>
        </w:rPr>
      </w:pPr>
    </w:p>
    <w:p w14:paraId="124952D2">
      <w:pPr>
        <w:pStyle w:val="2"/>
        <w:rPr>
          <w:rFonts w:hint="eastAsia"/>
          <w:color w:val="auto"/>
          <w:highlight w:val="none"/>
        </w:rPr>
      </w:pPr>
    </w:p>
    <w:p w14:paraId="7311405E">
      <w:pPr>
        <w:pStyle w:val="2"/>
        <w:rPr>
          <w:rFonts w:hint="eastAsia"/>
          <w:color w:val="auto"/>
          <w:highlight w:val="none"/>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highlight w:val="none"/>
        </w:rPr>
      </w:pPr>
      <w:bookmarkStart w:id="71" w:name="_Toc1156"/>
      <w:r>
        <w:rPr>
          <w:rFonts w:hint="eastAsia" w:ascii="Times New Roman" w:hAnsi="Times New Roman" w:eastAsia="宋体" w:cs="Times New Roman"/>
          <w:b/>
          <w:color w:val="auto"/>
          <w:kern w:val="2"/>
          <w:sz w:val="32"/>
          <w:szCs w:val="32"/>
          <w:lang w:val="en-US" w:eastAsia="zh-CN" w:bidi="ar-SA"/>
        </w:rPr>
        <w:t>三、</w:t>
      </w:r>
      <w:bookmarkStart w:id="72" w:name="_Toc6198"/>
      <w:bookmarkStart w:id="7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1"/>
      <w:bookmarkEnd w:id="72"/>
      <w:bookmarkEnd w:id="73"/>
    </w:p>
    <w:p w14:paraId="385110FD">
      <w:pPr>
        <w:numPr>
          <w:ilvl w:val="0"/>
          <w:numId w:val="0"/>
        </w:numPr>
        <w:spacing w:line="360" w:lineRule="auto"/>
        <w:ind w:firstLine="480" w:firstLineChars="200"/>
        <w:jc w:val="left"/>
        <w:rPr>
          <w:color w:val="auto"/>
          <w:highlight w:val="none"/>
        </w:rPr>
      </w:pPr>
      <w:r>
        <w:rPr>
          <w:rFonts w:hint="eastAsia" w:ascii="Times New Roman" w:hAnsi="Times New Roman" w:eastAsia="宋体" w:cs="Times New Roman"/>
          <w:color w:val="auto"/>
          <w:sz w:val="24"/>
          <w:highlight w:val="none"/>
          <w:lang w:val="en-US" w:eastAsia="zh-CN"/>
        </w:rPr>
        <w:t>1.如法定代表人参</w:t>
      </w:r>
      <w:r>
        <w:rPr>
          <w:color w:val="auto"/>
          <w:sz w:val="24"/>
          <w:highlight w:val="none"/>
        </w:rPr>
        <w:t>加的，</w:t>
      </w:r>
      <w:r>
        <w:rPr>
          <w:rFonts w:hint="eastAsia"/>
          <w:color w:val="auto"/>
          <w:sz w:val="24"/>
          <w:highlight w:val="none"/>
          <w:lang w:eastAsia="zh-CN"/>
        </w:rPr>
        <w:t>应</w:t>
      </w:r>
      <w:r>
        <w:rPr>
          <w:color w:val="auto"/>
          <w:sz w:val="24"/>
          <w:highlight w:val="none"/>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询比</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68B76E">
      <w:pPr>
        <w:pStyle w:val="2"/>
        <w:rPr>
          <w:rFonts w:hint="eastAsia"/>
          <w:color w:val="auto"/>
        </w:rPr>
      </w:pPr>
    </w:p>
    <w:p w14:paraId="49A3CDB9">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2.1附件：法定代表人授权书格式</w:t>
      </w:r>
    </w:p>
    <w:p w14:paraId="2ACB4EA4">
      <w:pPr>
        <w:spacing w:line="360" w:lineRule="auto"/>
        <w:jc w:val="left"/>
        <w:rPr>
          <w:rFonts w:hint="eastAsia"/>
          <w:color w:val="auto"/>
          <w:sz w:val="24"/>
          <w:highlight w:val="none"/>
        </w:rPr>
      </w:pPr>
    </w:p>
    <w:p w14:paraId="3BCF2A30">
      <w:pPr>
        <w:spacing w:line="360" w:lineRule="auto"/>
        <w:jc w:val="left"/>
        <w:rPr>
          <w:rFonts w:hint="eastAsia"/>
          <w:color w:val="auto"/>
          <w:sz w:val="24"/>
          <w:highlight w:val="none"/>
        </w:rPr>
      </w:pPr>
      <w:r>
        <w:rPr>
          <w:rFonts w:hint="eastAsia"/>
          <w:color w:val="auto"/>
          <w:sz w:val="24"/>
          <w:highlight w:val="none"/>
          <w:lang w:val="en-US" w:eastAsia="zh-CN"/>
        </w:rPr>
        <w:t>泸州市锦阳保安服务有限公司</w:t>
      </w:r>
      <w:r>
        <w:rPr>
          <w:rFonts w:hint="eastAsia"/>
          <w:color w:val="auto"/>
          <w:sz w:val="24"/>
          <w:highlight w:val="none"/>
        </w:rPr>
        <w:t>（采购人名称）：</w:t>
      </w:r>
    </w:p>
    <w:p w14:paraId="5AC953A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w:t>
      </w:r>
      <w:r>
        <w:rPr>
          <w:rFonts w:hint="eastAsia"/>
          <w:color w:val="auto"/>
          <w:sz w:val="24"/>
          <w:highlight w:val="none"/>
          <w:lang w:eastAsia="zh-CN"/>
        </w:rPr>
        <w:t>“</w:t>
      </w:r>
      <w:r>
        <w:rPr>
          <w:rFonts w:hint="eastAsia"/>
          <w:color w:val="auto"/>
          <w:sz w:val="24"/>
          <w:highlight w:val="none"/>
          <w:lang w:val="en-US" w:eastAsia="zh-CN"/>
        </w:rPr>
        <w:t>厂区摄像头等相关配件</w:t>
      </w:r>
      <w:r>
        <w:rPr>
          <w:rFonts w:hint="eastAsia"/>
          <w:color w:val="auto"/>
          <w:sz w:val="24"/>
          <w:highlight w:val="none"/>
          <w:lang w:eastAsia="zh-CN"/>
        </w:rPr>
        <w:t>”</w:t>
      </w:r>
      <w:r>
        <w:rPr>
          <w:rFonts w:hint="eastAsia"/>
          <w:color w:val="auto"/>
          <w:sz w:val="24"/>
          <w:highlight w:val="none"/>
          <w:lang w:val="en-US" w:eastAsia="zh-CN"/>
        </w:rPr>
        <w:t>采购</w:t>
      </w:r>
      <w:r>
        <w:rPr>
          <w:rFonts w:hint="eastAsia"/>
          <w:color w:val="auto"/>
          <w:sz w:val="24"/>
          <w:highlight w:val="none"/>
        </w:rPr>
        <w:t>项目（采购编号：</w:t>
      </w:r>
      <w:r>
        <w:rPr>
          <w:rFonts w:hint="eastAsia"/>
          <w:color w:val="auto"/>
          <w:sz w:val="24"/>
          <w:highlight w:val="none"/>
          <w:lang w:val="en-US" w:eastAsia="zh-CN"/>
        </w:rPr>
        <w:t>Y</w:t>
      </w:r>
      <w:r>
        <w:rPr>
          <w:rFonts w:hint="eastAsia"/>
          <w:color w:val="auto"/>
          <w:sz w:val="24"/>
          <w:highlight w:val="none"/>
        </w:rPr>
        <w:t>YCG[2</w:t>
      </w:r>
      <w:r>
        <w:rPr>
          <w:rFonts w:hint="eastAsia"/>
          <w:color w:val="auto"/>
          <w:sz w:val="24"/>
          <w:highlight w:val="none"/>
          <w:lang w:val="en-US" w:eastAsia="zh-CN"/>
        </w:rPr>
        <w:t>025</w:t>
      </w:r>
      <w:r>
        <w:rPr>
          <w:rFonts w:hint="eastAsia"/>
          <w:color w:val="auto"/>
          <w:sz w:val="24"/>
          <w:highlight w:val="none"/>
        </w:rPr>
        <w:t>]</w:t>
      </w:r>
      <w:r>
        <w:rPr>
          <w:rFonts w:hint="eastAsia"/>
          <w:color w:val="auto"/>
          <w:sz w:val="24"/>
          <w:highlight w:val="none"/>
          <w:lang w:val="en-US" w:eastAsia="zh-CN"/>
        </w:rPr>
        <w:t>***</w:t>
      </w:r>
      <w:r>
        <w:rPr>
          <w:rFonts w:hint="eastAsia"/>
          <w:color w:val="auto"/>
          <w:sz w:val="24"/>
          <w:highlight w:val="none"/>
        </w:rPr>
        <w:t>号）</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14:paraId="606BCB7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9238C3C">
      <w:pPr>
        <w:spacing w:line="360" w:lineRule="auto"/>
        <w:ind w:firstLine="480" w:firstLineChars="200"/>
        <w:jc w:val="left"/>
        <w:rPr>
          <w:rFonts w:hint="eastAsia"/>
          <w:color w:val="auto"/>
          <w:sz w:val="24"/>
          <w:highlight w:val="none"/>
        </w:rPr>
      </w:pPr>
    </w:p>
    <w:p w14:paraId="17CF36D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1FB94C2">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8996270">
      <w:pPr>
        <w:spacing w:line="360" w:lineRule="auto"/>
        <w:ind w:firstLine="480" w:firstLineChars="200"/>
        <w:jc w:val="left"/>
        <w:rPr>
          <w:rFonts w:hint="eastAsia"/>
          <w:color w:val="auto"/>
          <w:sz w:val="24"/>
          <w:highlight w:val="none"/>
        </w:rPr>
      </w:pPr>
    </w:p>
    <w:p w14:paraId="5B931E7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4EB838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4A2B34A">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E05E4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B0C4B3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7DE6228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77022869">
      <w:pPr>
        <w:spacing w:line="360" w:lineRule="auto"/>
        <w:ind w:firstLine="480" w:firstLineChars="200"/>
        <w:jc w:val="left"/>
        <w:rPr>
          <w:rFonts w:hint="eastAsia"/>
          <w:color w:val="auto"/>
          <w:sz w:val="24"/>
          <w:highlight w:val="none"/>
        </w:rPr>
      </w:pPr>
    </w:p>
    <w:p w14:paraId="7D50ED21">
      <w:pPr>
        <w:spacing w:line="400" w:lineRule="exact"/>
        <w:rPr>
          <w:rFonts w:hint="eastAsia"/>
          <w:color w:val="auto"/>
          <w:sz w:val="32"/>
          <w:highlight w:val="none"/>
        </w:rPr>
      </w:pPr>
    </w:p>
    <w:p w14:paraId="7D9C0E06">
      <w:pPr>
        <w:spacing w:before="120" w:beforeLines="50" w:after="360" w:afterLines="150"/>
        <w:jc w:val="center"/>
        <w:outlineLvl w:val="1"/>
        <w:rPr>
          <w:b/>
          <w:color w:val="auto"/>
          <w:sz w:val="32"/>
          <w:szCs w:val="32"/>
          <w:highlight w:val="none"/>
        </w:rPr>
      </w:pPr>
    </w:p>
    <w:p w14:paraId="2703C7D8">
      <w:pPr>
        <w:spacing w:before="120" w:beforeLines="50" w:after="360" w:afterLines="150"/>
        <w:jc w:val="both"/>
        <w:outlineLvl w:val="1"/>
        <w:rPr>
          <w:b/>
          <w:color w:val="auto"/>
          <w:sz w:val="32"/>
          <w:szCs w:val="32"/>
          <w:highlight w:val="none"/>
        </w:rPr>
      </w:pPr>
    </w:p>
    <w:p w14:paraId="1CD0F0C3">
      <w:pPr>
        <w:pStyle w:val="4"/>
        <w:spacing w:line="360" w:lineRule="auto"/>
        <w:jc w:val="center"/>
        <w:rPr>
          <w:rFonts w:hint="eastAsia"/>
        </w:rPr>
      </w:pPr>
      <w:bookmarkStart w:id="74" w:name="_Toc24807"/>
      <w:bookmarkStart w:id="75" w:name="_Toc31366"/>
      <w:bookmarkStart w:id="76" w:name="_Toc24191"/>
      <w:bookmarkStart w:id="77" w:name="_Toc217446085"/>
      <w:bookmarkStart w:id="78" w:name="_Toc13788"/>
      <w:bookmarkStart w:id="79" w:name="_Toc10809"/>
      <w:bookmarkStart w:id="80" w:name="_Toc16088"/>
      <w:bookmarkStart w:id="81" w:name="_Toc15865"/>
      <w:bookmarkStart w:id="82" w:name="_Toc7252"/>
      <w:bookmarkStart w:id="83" w:name="_Toc2815"/>
      <w:bookmarkStart w:id="84" w:name="_Toc1999"/>
      <w:bookmarkStart w:id="85" w:name="_Toc2790"/>
      <w:bookmarkStart w:id="86" w:name="_Toc508133975"/>
      <w:bookmarkStart w:id="87" w:name="_Toc22396"/>
      <w:bookmarkStart w:id="88" w:name="_Toc19538"/>
      <w:bookmarkStart w:id="89" w:name="_Toc23131"/>
      <w:bookmarkStart w:id="90" w:name="_Toc24944"/>
      <w:bookmarkStart w:id="91" w:name="_Toc30754"/>
      <w:bookmarkStart w:id="92" w:name="_Toc22147"/>
      <w:bookmarkStart w:id="93" w:name="_Toc31449"/>
      <w:bookmarkStart w:id="94" w:name="_Toc6190"/>
      <w:bookmarkStart w:id="95" w:name="_Toc27595"/>
      <w:bookmarkStart w:id="96" w:name="_Toc19373"/>
      <w:r>
        <w:rPr>
          <w:rFonts w:hint="eastAsia"/>
          <w:lang w:val="en-US" w:eastAsia="zh-CN"/>
        </w:rPr>
        <w:t>四</w:t>
      </w:r>
      <w:r>
        <w:t>、报价</w:t>
      </w:r>
      <w:bookmarkEnd w:id="74"/>
      <w:bookmarkEnd w:id="75"/>
      <w:bookmarkEnd w:id="76"/>
      <w:bookmarkEnd w:id="77"/>
      <w:bookmarkEnd w:id="78"/>
      <w:bookmarkEnd w:id="79"/>
      <w:bookmarkEnd w:id="80"/>
      <w:bookmarkEnd w:id="81"/>
      <w:bookmarkEnd w:id="82"/>
      <w:bookmarkEnd w:id="83"/>
      <w:bookmarkEnd w:id="84"/>
      <w:bookmarkEnd w:id="85"/>
      <w:bookmarkEnd w:id="86"/>
      <w:r>
        <w:rPr>
          <w:rFonts w:hint="eastAsia"/>
        </w:rPr>
        <w:t>一览表</w:t>
      </w:r>
      <w:bookmarkEnd w:id="87"/>
      <w:bookmarkEnd w:id="88"/>
      <w:bookmarkEnd w:id="89"/>
      <w:bookmarkEnd w:id="90"/>
      <w:bookmarkEnd w:id="91"/>
      <w:bookmarkEnd w:id="92"/>
      <w:bookmarkEnd w:id="93"/>
      <w:bookmarkEnd w:id="94"/>
      <w:bookmarkEnd w:id="95"/>
      <w:bookmarkEnd w:id="96"/>
    </w:p>
    <w:p w14:paraId="35431CC8">
      <w:pPr>
        <w:spacing w:line="360" w:lineRule="auto"/>
        <w:rPr>
          <w:rFonts w:hint="eastAsia" w:ascii="宋体" w:hAnsi="宋体"/>
          <w:b/>
          <w:sz w:val="24"/>
        </w:rPr>
      </w:pPr>
    </w:p>
    <w:p w14:paraId="565D8DFB">
      <w:pPr>
        <w:spacing w:line="360" w:lineRule="auto"/>
        <w:rPr>
          <w:rFonts w:hint="default" w:ascii="宋体" w:hAnsi="宋体" w:eastAsia="宋体" w:cs="Times New Roman"/>
          <w:b/>
          <w:sz w:val="24"/>
          <w:lang w:val="en-US" w:eastAsia="zh-CN"/>
        </w:rPr>
      </w:pPr>
      <w:r>
        <w:rPr>
          <w:rFonts w:hint="eastAsia" w:ascii="宋体" w:hAnsi="宋体"/>
          <w:b/>
          <w:sz w:val="24"/>
        </w:rPr>
        <w:t>项目名称：</w:t>
      </w:r>
      <w:r>
        <w:rPr>
          <w:rFonts w:hint="eastAsia" w:ascii="宋体" w:hAnsi="宋体" w:eastAsia="宋体" w:cs="Times New Roman"/>
          <w:b/>
          <w:sz w:val="24"/>
          <w:lang w:val="en-US" w:eastAsia="zh-CN"/>
        </w:rPr>
        <w:t>“厂区摄像头等相关配件”采购项目</w:t>
      </w:r>
    </w:p>
    <w:p w14:paraId="00E18D84">
      <w:pPr>
        <w:spacing w:line="360" w:lineRule="auto"/>
        <w:rPr>
          <w:rFonts w:hint="eastAsia" w:ascii="宋体" w:hAnsi="宋体" w:eastAsia="宋体" w:cs="Times New Roman"/>
          <w:b/>
          <w:sz w:val="24"/>
        </w:rPr>
      </w:pPr>
      <w:r>
        <w:rPr>
          <w:rFonts w:hint="eastAsia" w:ascii="宋体" w:hAnsi="宋体"/>
          <w:b/>
          <w:sz w:val="24"/>
        </w:rPr>
        <w:t>采购编号：</w:t>
      </w:r>
      <w:r>
        <w:rPr>
          <w:rFonts w:hint="eastAsia" w:ascii="宋体" w:hAnsi="宋体" w:eastAsia="宋体" w:cs="Times New Roman"/>
          <w:b/>
          <w:sz w:val="24"/>
          <w:lang w:val="en-US" w:eastAsia="zh-CN"/>
        </w:rPr>
        <w:t>Y</w:t>
      </w:r>
      <w:r>
        <w:rPr>
          <w:rFonts w:hint="eastAsia" w:ascii="宋体" w:hAnsi="宋体" w:eastAsia="宋体" w:cs="Times New Roman"/>
          <w:b/>
          <w:sz w:val="24"/>
        </w:rPr>
        <w:t>YCG[202</w:t>
      </w:r>
      <w:r>
        <w:rPr>
          <w:rFonts w:hint="eastAsia" w:ascii="宋体" w:hAnsi="宋体" w:eastAsia="宋体" w:cs="Times New Roman"/>
          <w:b/>
          <w:sz w:val="24"/>
          <w:lang w:val="en-US" w:eastAsia="zh-CN"/>
        </w:rPr>
        <w:t>5</w:t>
      </w:r>
      <w:r>
        <w:rPr>
          <w:rFonts w:hint="eastAsia" w:ascii="宋体" w:hAnsi="宋体" w:eastAsia="宋体" w:cs="Times New Roman"/>
          <w:b/>
          <w:sz w:val="24"/>
        </w:rPr>
        <w:t>]</w:t>
      </w:r>
      <w:r>
        <w:rPr>
          <w:rFonts w:hint="eastAsia" w:ascii="宋体" w:hAnsi="宋体" w:eastAsia="宋体" w:cs="Times New Roman"/>
          <w:b/>
          <w:sz w:val="24"/>
          <w:u w:val="single"/>
          <w:lang w:val="en-US" w:eastAsia="zh-CN"/>
        </w:rPr>
        <w:t xml:space="preserve">    </w:t>
      </w:r>
      <w:r>
        <w:rPr>
          <w:rFonts w:hint="eastAsia" w:ascii="宋体" w:hAnsi="宋体" w:eastAsia="宋体" w:cs="Times New Roman"/>
          <w:b/>
          <w:sz w:val="24"/>
        </w:rPr>
        <w:t>号</w:t>
      </w:r>
    </w:p>
    <w:tbl>
      <w:tblPr>
        <w:tblStyle w:val="18"/>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2388"/>
        <w:gridCol w:w="1275"/>
        <w:gridCol w:w="1290"/>
        <w:gridCol w:w="1230"/>
        <w:gridCol w:w="1410"/>
        <w:gridCol w:w="895"/>
      </w:tblGrid>
      <w:tr w14:paraId="00C0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65190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06B58B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DE41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DA9D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230" w:type="dxa"/>
            <w:tcBorders>
              <w:top w:val="single" w:color="000000" w:sz="4" w:space="0"/>
              <w:left w:val="single" w:color="000000" w:sz="4" w:space="0"/>
              <w:right w:val="single" w:color="000000" w:sz="4" w:space="0"/>
            </w:tcBorders>
            <w:noWrap w:val="0"/>
            <w:vAlign w:val="center"/>
          </w:tcPr>
          <w:p w14:paraId="784E062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3D7050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F7B00A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17D1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136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540CC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高清摄像机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A7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0AC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1BA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9F3F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D796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67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046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183E4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双光警戒变焦枪型网络摄像机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FF0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BD2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9A32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BE8F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4C8F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C1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210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17AD2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网络存储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3DDF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81D7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7C9E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2BDF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D48D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26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895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2CC753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硬盘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837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318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C22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D0D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C6F1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79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C4C4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5FCEE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监控平台服务器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698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6C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E453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8F3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B5DA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49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97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79B6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大模型大神算系列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9C7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5C01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933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8831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9883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DC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B80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3FBDC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显示器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9C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6DB9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05F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FFAD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48A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AA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A805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7EC9F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核心交换机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7E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477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99F7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81D3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600A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11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498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498A6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汇聚交换机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9B3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A469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5384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0E06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EE35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CA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97A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77FEF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汇聚交换机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BF6D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80D1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0D8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EF0B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2B70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B5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DCE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201C9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接入交换机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3CBA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9B58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32D3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D783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C9BD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30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8BA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2E31C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接入交换机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2B6E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147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B65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D414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0B77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88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248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2AD8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光纤收发器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C67D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CB6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3C10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C219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809B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42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B6E1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B2A5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DA56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箱</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0EA9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auto"/>
                <w:sz w:val="20"/>
                <w:szCs w:val="20"/>
                <w:u w:val="none"/>
                <w:lang w:val="en-US" w:eastAsia="zh-CN"/>
              </w:rPr>
              <w:t>35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A382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E76F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2177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F4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2C2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0C842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电源线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70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30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5200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121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CFCD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1F14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74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E1E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0F975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48BA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9F8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8600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0B2C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E98D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D8F6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E5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F4B3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EF0C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光纤收发器机箱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A1A2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E31A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1789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F44A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32FC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C4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F8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56D8A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枪机支架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DA91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5F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70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05D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1ADF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0A54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49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EE3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01317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光纤终端ODF</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681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0A7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1A76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DD91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6813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50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721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24EBE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光纤熔接盒</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58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8B3D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2"/>
                <w:sz w:val="20"/>
                <w:szCs w:val="20"/>
                <w:u w:val="none"/>
                <w:lang w:val="en-US" w:eastAsia="zh-CN" w:bidi="ar-SA"/>
              </w:rPr>
              <w:t>12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B57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F4F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D5E3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DF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075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952F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尾纤</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39FE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249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160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7359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A60B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ECC4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C3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3E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5C903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室内机柜交接箱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25F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个</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6E1D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7AF4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D11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C0BE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D5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B06A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3EC89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室外不锈钢交接箱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FF72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个</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F12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252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D2FB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5FE6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6E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46C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1FDD6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PVC管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F11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B92C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9500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0A56F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8527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2527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9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AC2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F133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拆装旧设备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F2C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CC36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A0F3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9DB3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45A9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B9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14:paraId="183B8E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cs="宋体"/>
                <w:i w:val="0"/>
                <w:iCs w:val="0"/>
                <w:color w:val="000000"/>
                <w:kern w:val="0"/>
                <w:sz w:val="20"/>
                <w:szCs w:val="20"/>
                <w:u w:val="none"/>
                <w:lang w:val="en-US" w:eastAsia="zh-CN" w:bidi="ar"/>
              </w:rPr>
              <w:t>（含税</w:t>
            </w:r>
            <w:r>
              <w:rPr>
                <w:rFonts w:hint="eastAsia" w:ascii="宋体" w:hAnsi="宋体" w:cs="宋体"/>
                <w:i w:val="0"/>
                <w:iCs w:val="0"/>
                <w:color w:val="000000"/>
                <w:kern w:val="0"/>
                <w:sz w:val="20"/>
                <w:szCs w:val="20"/>
                <w:u w:val="single"/>
                <w:lang w:val="en-US" w:eastAsia="zh-CN" w:bidi="ar"/>
              </w:rPr>
              <w:t xml:space="preserve">  </w:t>
            </w:r>
            <w:r>
              <w:rPr>
                <w:rFonts w:hint="eastAsia" w:ascii="宋体" w:hAnsi="宋体" w:cs="宋体"/>
                <w:i w:val="0"/>
                <w:iCs w:val="0"/>
                <w:color w:val="000000"/>
                <w:kern w:val="0"/>
                <w:sz w:val="20"/>
                <w:szCs w:val="20"/>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E143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D0F2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C683ACE">
      <w:pPr>
        <w:pStyle w:val="15"/>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hint="eastAsia" w:ascii="宋体" w:hAnsi="宋体" w:cs="宋体"/>
          <w:b/>
          <w:bCs/>
          <w:sz w:val="24"/>
          <w:szCs w:val="24"/>
        </w:rPr>
      </w:pPr>
    </w:p>
    <w:p w14:paraId="44BC31A5">
      <w:pPr>
        <w:pStyle w:val="15"/>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hint="eastAsia" w:ascii="宋体" w:hAnsi="宋体" w:eastAsia="宋体" w:cs="宋体"/>
          <w:sz w:val="24"/>
        </w:rPr>
      </w:pPr>
      <w:r>
        <w:rPr>
          <w:rFonts w:hint="eastAsia" w:ascii="宋体" w:hAnsi="宋体" w:cs="宋体"/>
          <w:b/>
          <w:bCs/>
          <w:sz w:val="24"/>
          <w:szCs w:val="24"/>
        </w:rPr>
        <w:t>注：</w:t>
      </w:r>
      <w:r>
        <w:rPr>
          <w:rFonts w:hint="eastAsia" w:ascii="宋体" w:hAnsi="宋体"/>
          <w:sz w:val="24"/>
          <w:szCs w:val="24"/>
        </w:rPr>
        <w:t>1.</w:t>
      </w:r>
      <w:r>
        <w:rPr>
          <w:rFonts w:hint="eastAsia" w:ascii="宋体" w:hAnsi="宋体" w:cs="宋体"/>
          <w:sz w:val="24"/>
        </w:rPr>
        <w:t>如</w:t>
      </w:r>
      <w:r>
        <w:rPr>
          <w:rFonts w:hint="eastAsia" w:ascii="宋体" w:hAnsi="宋体" w:eastAsia="宋体" w:cs="宋体"/>
          <w:sz w:val="24"/>
          <w:lang w:val="en-US" w:eastAsia="zh-CN"/>
        </w:rPr>
        <w:t>报价</w:t>
      </w:r>
      <w:r>
        <w:rPr>
          <w:rFonts w:hint="eastAsia" w:ascii="宋体" w:hAnsi="宋体" w:cs="宋体"/>
          <w:sz w:val="24"/>
        </w:rPr>
        <w:t>发现有缺、漏、少项等者，均认为报价人也综合考虑报价中。</w:t>
      </w:r>
    </w:p>
    <w:p w14:paraId="1F940A29">
      <w:pPr>
        <w:pStyle w:val="2"/>
        <w:widowControl w:val="0"/>
        <w:spacing w:line="360" w:lineRule="auto"/>
        <w:rPr>
          <w:rFonts w:hint="eastAsia" w:ascii="宋体" w:hAnsi="宋体" w:cs="宋体"/>
          <w:sz w:val="24"/>
          <w:szCs w:val="24"/>
        </w:rPr>
      </w:pPr>
      <w:r>
        <w:rPr>
          <w:rFonts w:hint="eastAsia" w:ascii="宋体" w:hAnsi="宋体" w:cs="宋体"/>
          <w:sz w:val="24"/>
          <w:szCs w:val="24"/>
        </w:rPr>
        <w:t>2、报价保留0位小数。</w:t>
      </w:r>
    </w:p>
    <w:p w14:paraId="0E0B5C6B">
      <w:pPr>
        <w:spacing w:line="360" w:lineRule="auto"/>
      </w:pPr>
      <w:r>
        <w:rPr>
          <w:rFonts w:hint="eastAsia" w:ascii="宋体" w:hAnsi="宋体"/>
          <w:sz w:val="24"/>
          <w:szCs w:val="24"/>
        </w:rPr>
        <w:t>3、</w:t>
      </w:r>
      <w:r>
        <w:rPr>
          <w:rFonts w:hint="eastAsia" w:ascii="宋体" w:hAnsi="宋体"/>
          <w:sz w:val="24"/>
          <w:szCs w:val="24"/>
          <w:lang w:val="en-US" w:eastAsia="zh-CN"/>
        </w:rPr>
        <w:t>增值税普通发票</w:t>
      </w:r>
      <w:r>
        <w:rPr>
          <w:rFonts w:hint="eastAsia" w:ascii="宋体" w:hAnsi="宋体"/>
          <w:sz w:val="24"/>
          <w:szCs w:val="24"/>
        </w:rPr>
        <w:t>。</w:t>
      </w:r>
    </w:p>
    <w:p w14:paraId="0F188431">
      <w:pPr>
        <w:pStyle w:val="2"/>
        <w:spacing w:line="360" w:lineRule="auto"/>
        <w:rPr>
          <w:rFonts w:hint="eastAsia" w:ascii="微软雅黑" w:hAnsi="宋体"/>
          <w:sz w:val="24"/>
          <w:szCs w:val="24"/>
        </w:rPr>
      </w:pPr>
      <w:r>
        <w:rPr>
          <w:rFonts w:hint="eastAsia"/>
          <w:lang w:val="en-US" w:eastAsia="zh-CN"/>
        </w:rPr>
        <w:t>4、</w:t>
      </w:r>
      <w:r>
        <w:rPr>
          <w:rFonts w:ascii="Segoe UI" w:hAnsi="Segoe UI" w:eastAsia="Segoe UI" w:cs="Segoe UI"/>
          <w:i w:val="0"/>
          <w:iCs w:val="0"/>
          <w:caps w:val="0"/>
          <w:spacing w:val="0"/>
          <w:sz w:val="24"/>
          <w:szCs w:val="24"/>
          <w:shd w:val="clear" w:fill="FFFFFF"/>
        </w:rPr>
        <w:t>本项目价款采用</w:t>
      </w:r>
      <w:r>
        <w:rPr>
          <w:rFonts w:hint="eastAsia" w:ascii="Segoe UI" w:hAnsi="Segoe UI" w:eastAsia="宋体" w:cs="Segoe UI"/>
          <w:i w:val="0"/>
          <w:iCs w:val="0"/>
          <w:caps w:val="0"/>
          <w:spacing w:val="0"/>
          <w:sz w:val="24"/>
          <w:szCs w:val="24"/>
          <w:shd w:val="clear" w:fill="FFFFFF"/>
          <w:lang w:val="en-US" w:eastAsia="zh-CN"/>
        </w:rPr>
        <w:t>固定单价</w:t>
      </w:r>
      <w:r>
        <w:rPr>
          <w:rFonts w:ascii="Segoe UI" w:hAnsi="Segoe UI" w:eastAsia="Segoe UI" w:cs="Segoe UI"/>
          <w:i w:val="0"/>
          <w:iCs w:val="0"/>
          <w:caps w:val="0"/>
          <w:spacing w:val="0"/>
          <w:sz w:val="24"/>
          <w:szCs w:val="24"/>
          <w:shd w:val="clear" w:fill="FFFFFF"/>
        </w:rPr>
        <w:t>形式，</w:t>
      </w:r>
      <w:r>
        <w:rPr>
          <w:rFonts w:hint="eastAsia" w:ascii="Segoe UI" w:hAnsi="Segoe UI" w:eastAsia="宋体" w:cs="Segoe UI"/>
          <w:i w:val="0"/>
          <w:iCs w:val="0"/>
          <w:caps w:val="0"/>
          <w:spacing w:val="0"/>
          <w:sz w:val="24"/>
          <w:szCs w:val="24"/>
          <w:shd w:val="clear" w:fill="FFFFFF"/>
          <w:lang w:val="en-US" w:eastAsia="zh-CN"/>
        </w:rPr>
        <w:t>以上报价</w:t>
      </w:r>
      <w:r>
        <w:rPr>
          <w:rFonts w:ascii="Segoe UI" w:hAnsi="Segoe UI" w:eastAsia="Segoe UI" w:cs="Segoe UI"/>
          <w:i w:val="0"/>
          <w:iCs w:val="0"/>
          <w:caps w:val="0"/>
          <w:spacing w:val="0"/>
          <w:sz w:val="24"/>
          <w:szCs w:val="24"/>
          <w:shd w:val="clear" w:fill="FFFFFF"/>
        </w:rPr>
        <w:t>为完成全部工作并达到约定交付标准的最终结算价，已涵盖人工、搬运及项目实施全流程所需的所有费用</w:t>
      </w:r>
      <w:r>
        <w:rPr>
          <w:rFonts w:hint="eastAsia" w:ascii="Segoe UI" w:hAnsi="Segoe UI" w:eastAsia="宋体" w:cs="Segoe UI"/>
          <w:i w:val="0"/>
          <w:iCs w:val="0"/>
          <w:caps w:val="0"/>
          <w:spacing w:val="0"/>
          <w:sz w:val="24"/>
          <w:szCs w:val="24"/>
          <w:shd w:val="clear" w:fill="FFFFFF"/>
          <w:lang w:val="en-US" w:eastAsia="zh-CN"/>
        </w:rPr>
        <w:t>及税费</w:t>
      </w:r>
      <w:r>
        <w:rPr>
          <w:rFonts w:ascii="Segoe UI" w:hAnsi="Segoe UI" w:eastAsia="Segoe UI" w:cs="Segoe UI"/>
          <w:i w:val="0"/>
          <w:iCs w:val="0"/>
          <w:caps w:val="0"/>
          <w:spacing w:val="0"/>
          <w:sz w:val="24"/>
          <w:szCs w:val="24"/>
          <w:shd w:val="clear" w:fill="FFFFFF"/>
        </w:rPr>
        <w:t>，除合同另有明确约定外不作调整，采购人无需另行支付其他费用。</w:t>
      </w:r>
      <w:bookmarkStart w:id="97" w:name="_Toc14988"/>
      <w:bookmarkStart w:id="98" w:name="_Toc12070"/>
      <w:bookmarkStart w:id="99" w:name="_Toc18055"/>
      <w:bookmarkStart w:id="100" w:name="_Toc16565"/>
      <w:bookmarkStart w:id="101" w:name="_Toc12385"/>
      <w:bookmarkStart w:id="102" w:name="_Toc8256"/>
      <w:bookmarkStart w:id="103" w:name="_Toc30761"/>
      <w:bookmarkStart w:id="104" w:name="_Toc19451"/>
    </w:p>
    <w:p w14:paraId="3BE8D5FF">
      <w:pPr>
        <w:spacing w:after="160" w:line="360" w:lineRule="auto"/>
        <w:jc w:val="left"/>
        <w:rPr>
          <w:rFonts w:ascii="微软雅黑" w:hAnsi="宋体"/>
          <w:sz w:val="24"/>
          <w:szCs w:val="24"/>
        </w:rPr>
      </w:pPr>
      <w:r>
        <w:rPr>
          <w:rFonts w:hint="eastAsia" w:ascii="微软雅黑" w:hAnsi="宋体"/>
          <w:sz w:val="24"/>
          <w:szCs w:val="24"/>
        </w:rPr>
        <w:t>供应商</w:t>
      </w:r>
      <w:r>
        <w:rPr>
          <w:rFonts w:ascii="微软雅黑" w:hAnsi="宋体"/>
          <w:sz w:val="24"/>
          <w:szCs w:val="24"/>
        </w:rPr>
        <w:t>名称：        （盖章）</w:t>
      </w:r>
    </w:p>
    <w:p w14:paraId="3723AEE0">
      <w:pPr>
        <w:pStyle w:val="2"/>
        <w:spacing w:line="360" w:lineRule="auto"/>
        <w:rPr>
          <w:rFonts w:hint="eastAsia" w:ascii="微软雅黑" w:hAnsi="宋体"/>
          <w:sz w:val="24"/>
          <w:szCs w:val="24"/>
        </w:rPr>
      </w:pPr>
      <w:r>
        <w:rPr>
          <w:rFonts w:ascii="微软雅黑" w:hAnsi="宋体"/>
          <w:sz w:val="24"/>
          <w:szCs w:val="24"/>
        </w:rPr>
        <w:t>法定代表人或授权代表（签字）</w:t>
      </w:r>
      <w:r>
        <w:rPr>
          <w:rFonts w:hint="eastAsia" w:ascii="微软雅黑" w:hAnsi="宋体"/>
          <w:sz w:val="24"/>
          <w:szCs w:val="24"/>
        </w:rPr>
        <w:t>：</w:t>
      </w:r>
    </w:p>
    <w:p w14:paraId="15F42E85">
      <w:pPr>
        <w:spacing w:line="360" w:lineRule="auto"/>
        <w:rPr>
          <w:b/>
          <w:color w:val="auto"/>
          <w:sz w:val="32"/>
          <w:szCs w:val="32"/>
          <w:highlight w:val="none"/>
        </w:rPr>
        <w:sectPr>
          <w:pgSz w:w="11906" w:h="16840"/>
          <w:pgMar w:top="1440" w:right="1800" w:bottom="1440" w:left="1800" w:header="851" w:footer="992" w:gutter="0"/>
          <w:pgNumType w:start="1"/>
          <w:cols w:space="720" w:num="1"/>
          <w:docGrid w:linePitch="312" w:charSpace="0"/>
        </w:sectPr>
      </w:pPr>
      <w:r>
        <w:rPr>
          <w:rFonts w:hint="eastAsia" w:ascii="宋体" w:hAnsi="宋体" w:cs="宋体"/>
          <w:sz w:val="24"/>
        </w:rPr>
        <w:t>日      期：XXX</w:t>
      </w:r>
      <w:bookmarkEnd w:id="97"/>
      <w:bookmarkEnd w:id="98"/>
      <w:bookmarkEnd w:id="99"/>
      <w:bookmarkEnd w:id="100"/>
      <w:bookmarkEnd w:id="101"/>
      <w:bookmarkEnd w:id="102"/>
      <w:bookmarkEnd w:id="103"/>
      <w:bookmarkEnd w:id="104"/>
      <w:bookmarkStart w:id="105" w:name="_Toc19441"/>
      <w:bookmarkStart w:id="106" w:name="_Toc91771167"/>
    </w:p>
    <w:bookmarkEnd w:id="105"/>
    <w:bookmarkEnd w:id="106"/>
    <w:p w14:paraId="63357861">
      <w:pPr>
        <w:spacing w:before="120" w:beforeLines="50" w:after="360" w:afterLines="150"/>
        <w:jc w:val="center"/>
        <w:outlineLvl w:val="1"/>
        <w:rPr>
          <w:rFonts w:hint="eastAsia" w:ascii="宋体" w:hAnsi="宋体"/>
          <w:b/>
          <w:color w:val="auto"/>
          <w:sz w:val="32"/>
          <w:szCs w:val="32"/>
          <w:highlight w:val="none"/>
        </w:rPr>
      </w:pPr>
      <w:bookmarkStart w:id="107" w:name="_Toc8274"/>
      <w:bookmarkStart w:id="108" w:name="_Toc91771168"/>
      <w:bookmarkStart w:id="109" w:name="_Toc28412"/>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107"/>
      <w:bookmarkEnd w:id="108"/>
      <w:bookmarkEnd w:id="109"/>
    </w:p>
    <w:p w14:paraId="71C63988">
      <w:pPr>
        <w:spacing w:line="312" w:lineRule="auto"/>
        <w:jc w:val="left"/>
        <w:rPr>
          <w:rFonts w:hint="eastAsia"/>
          <w:color w:val="auto"/>
          <w:sz w:val="24"/>
          <w:highlight w:val="none"/>
        </w:rPr>
      </w:pPr>
      <w:r>
        <w:rPr>
          <w:rFonts w:hint="eastAsia"/>
          <w:color w:val="auto"/>
          <w:sz w:val="24"/>
          <w:highlight w:val="none"/>
          <w:lang w:val="en-US" w:eastAsia="zh-CN"/>
        </w:rPr>
        <w:t>泸州市锦阳保安服务有限公司</w:t>
      </w:r>
      <w:r>
        <w:rPr>
          <w:rFonts w:hint="eastAsia"/>
          <w:color w:val="auto"/>
          <w:sz w:val="24"/>
          <w:highlight w:val="none"/>
        </w:rPr>
        <w:t>（采购人名称）：</w:t>
      </w:r>
    </w:p>
    <w:p w14:paraId="0A7D3891">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14:paraId="41EA5732">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345B3FA">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EDF816B">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9C973A1">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7AB4F47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F1A59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FD97626">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C77ECE5">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eastAsia="zh-CN"/>
        </w:rPr>
        <w:t>无。</w:t>
      </w:r>
      <w:r>
        <w:rPr>
          <w:rFonts w:hint="eastAsia"/>
          <w:color w:val="auto"/>
          <w:sz w:val="24"/>
          <w:highlight w:val="none"/>
        </w:rPr>
        <w:t xml:space="preserve"> </w:t>
      </w:r>
    </w:p>
    <w:p w14:paraId="4316FF2E">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14:paraId="7B5918F4">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highlight w:val="none"/>
        </w:rPr>
      </w:pPr>
    </w:p>
    <w:p w14:paraId="41099BD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11453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37527F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10" w:name="_Toc2589"/>
      <w:bookmarkStart w:id="111" w:name="_Toc91771169"/>
      <w:bookmarkStart w:id="112" w:name="_Toc16489"/>
      <w:bookmarkStart w:id="113" w:name="_Toc12604"/>
      <w:bookmarkStart w:id="114" w:name="_Toc9917"/>
      <w:bookmarkStart w:id="115" w:name="_Toc2900"/>
      <w:bookmarkStart w:id="116" w:name="_Toc28506"/>
      <w:bookmarkStart w:id="117" w:name="_Toc30219"/>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110"/>
      <w:bookmarkEnd w:id="111"/>
      <w:bookmarkEnd w:id="112"/>
      <w:bookmarkEnd w:id="113"/>
      <w:bookmarkEnd w:id="114"/>
      <w:bookmarkEnd w:id="115"/>
      <w:bookmarkEnd w:id="116"/>
      <w:bookmarkEnd w:id="117"/>
    </w:p>
    <w:p w14:paraId="033984E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5FB7A6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highlight w:val="none"/>
        </w:rPr>
      </w:pPr>
    </w:p>
    <w:p w14:paraId="68C2790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8C8E42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78561AE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18" w:name="_Toc18610"/>
      <w:bookmarkStart w:id="119" w:name="_Toc91771170"/>
      <w:bookmarkStart w:id="120" w:name="_Toc1333"/>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118"/>
      <w:bookmarkEnd w:id="119"/>
      <w:bookmarkEnd w:id="12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60C98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1BFD1B9D">
            <w:pPr>
              <w:jc w:val="center"/>
              <w:rPr>
                <w:rFonts w:hint="eastAsia" w:ascii="宋体" w:hAnsi="宋体" w:cs="Arial"/>
                <w:bCs/>
                <w:color w:val="auto"/>
                <w:sz w:val="24"/>
                <w:highlight w:val="none"/>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A52A1A">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6EC256F">
            <w:pPr>
              <w:jc w:val="center"/>
              <w:rPr>
                <w:rFonts w:hint="eastAsia" w:ascii="宋体" w:hAnsi="宋体" w:cs="Arial"/>
                <w:bCs/>
                <w:color w:val="auto"/>
                <w:sz w:val="24"/>
                <w:highlight w:val="none"/>
              </w:rPr>
            </w:pPr>
          </w:p>
        </w:tc>
        <w:tc>
          <w:tcPr>
            <w:tcW w:w="1260" w:type="dxa"/>
            <w:gridSpan w:val="3"/>
            <w:noWrap w:val="0"/>
            <w:vAlign w:val="center"/>
          </w:tcPr>
          <w:p w14:paraId="3256924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F64B225">
            <w:pPr>
              <w:jc w:val="center"/>
              <w:rPr>
                <w:rFonts w:hint="eastAsia" w:ascii="宋体" w:hAnsi="宋体" w:cs="Arial"/>
                <w:bCs/>
                <w:color w:val="auto"/>
                <w:sz w:val="24"/>
                <w:highlight w:val="none"/>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0860D8B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C1F347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2D1D70F">
            <w:pPr>
              <w:jc w:val="center"/>
              <w:rPr>
                <w:rFonts w:hint="eastAsia" w:ascii="宋体" w:hAnsi="宋体" w:cs="Arial"/>
                <w:bCs/>
                <w:color w:val="auto"/>
                <w:sz w:val="24"/>
                <w:highlight w:val="none"/>
              </w:rPr>
            </w:pPr>
          </w:p>
        </w:tc>
        <w:tc>
          <w:tcPr>
            <w:tcW w:w="1260" w:type="dxa"/>
            <w:gridSpan w:val="3"/>
            <w:noWrap w:val="0"/>
            <w:vAlign w:val="center"/>
          </w:tcPr>
          <w:p w14:paraId="146D6F7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595F4E69">
            <w:pPr>
              <w:jc w:val="center"/>
              <w:rPr>
                <w:rFonts w:hint="eastAsia" w:ascii="宋体" w:hAnsi="宋体" w:cs="Arial"/>
                <w:bCs/>
                <w:color w:val="auto"/>
                <w:sz w:val="24"/>
                <w:highlight w:val="none"/>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99A2BF">
            <w:pPr>
              <w:jc w:val="center"/>
              <w:rPr>
                <w:rFonts w:hint="eastAsia" w:ascii="宋体" w:hAnsi="宋体" w:cs="Arial"/>
                <w:bCs/>
                <w:color w:val="auto"/>
                <w:sz w:val="24"/>
                <w:highlight w:val="none"/>
              </w:rPr>
            </w:pPr>
          </w:p>
        </w:tc>
        <w:tc>
          <w:tcPr>
            <w:tcW w:w="986" w:type="dxa"/>
            <w:noWrap w:val="0"/>
            <w:vAlign w:val="center"/>
          </w:tcPr>
          <w:p w14:paraId="767239B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0DF9E0EA">
            <w:pPr>
              <w:jc w:val="center"/>
              <w:rPr>
                <w:rFonts w:hint="eastAsia" w:ascii="宋体" w:hAnsi="宋体" w:cs="Arial"/>
                <w:bCs/>
                <w:color w:val="auto"/>
                <w:sz w:val="24"/>
                <w:highlight w:val="none"/>
              </w:rPr>
            </w:pPr>
          </w:p>
        </w:tc>
        <w:tc>
          <w:tcPr>
            <w:tcW w:w="1260" w:type="dxa"/>
            <w:gridSpan w:val="3"/>
            <w:noWrap w:val="0"/>
            <w:vAlign w:val="center"/>
          </w:tcPr>
          <w:p w14:paraId="1E9307B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57CD85D">
            <w:pPr>
              <w:jc w:val="center"/>
              <w:rPr>
                <w:rFonts w:hint="eastAsia" w:ascii="宋体" w:hAnsi="宋体" w:cs="Arial"/>
                <w:bCs/>
                <w:color w:val="auto"/>
                <w:sz w:val="24"/>
                <w:highlight w:val="none"/>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CDB7A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53FA097">
            <w:pPr>
              <w:jc w:val="center"/>
              <w:rPr>
                <w:rFonts w:hint="eastAsia" w:ascii="宋体" w:hAnsi="宋体" w:cs="Arial"/>
                <w:bCs/>
                <w:color w:val="auto"/>
                <w:sz w:val="24"/>
                <w:highlight w:val="none"/>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679F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C182D9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C6F476">
            <w:pPr>
              <w:jc w:val="center"/>
              <w:rPr>
                <w:rFonts w:hint="eastAsia" w:ascii="宋体" w:hAnsi="宋体" w:cs="Arial"/>
                <w:bCs/>
                <w:color w:val="auto"/>
                <w:sz w:val="24"/>
                <w:highlight w:val="none"/>
              </w:rPr>
            </w:pPr>
          </w:p>
        </w:tc>
        <w:tc>
          <w:tcPr>
            <w:tcW w:w="1260" w:type="dxa"/>
            <w:noWrap w:val="0"/>
            <w:vAlign w:val="center"/>
          </w:tcPr>
          <w:p w14:paraId="21E90F1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50D1C6A">
            <w:pPr>
              <w:jc w:val="center"/>
              <w:rPr>
                <w:rFonts w:hint="eastAsia" w:ascii="宋体" w:hAnsi="宋体" w:cs="Arial"/>
                <w:bCs/>
                <w:color w:val="auto"/>
                <w:sz w:val="24"/>
                <w:highlight w:val="none"/>
              </w:rPr>
            </w:pPr>
          </w:p>
        </w:tc>
        <w:tc>
          <w:tcPr>
            <w:tcW w:w="1260" w:type="dxa"/>
            <w:gridSpan w:val="3"/>
            <w:noWrap w:val="0"/>
            <w:vAlign w:val="center"/>
          </w:tcPr>
          <w:p w14:paraId="60564E4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890EFB4">
            <w:pPr>
              <w:jc w:val="center"/>
              <w:rPr>
                <w:rFonts w:hint="eastAsia" w:ascii="宋体" w:hAnsi="宋体" w:cs="Arial"/>
                <w:bCs/>
                <w:color w:val="auto"/>
                <w:sz w:val="24"/>
                <w:highlight w:val="none"/>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2833C8">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A65614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A5517D0">
            <w:pPr>
              <w:jc w:val="center"/>
              <w:rPr>
                <w:rFonts w:hint="eastAsia" w:ascii="宋体" w:hAnsi="宋体" w:cs="Arial"/>
                <w:bCs/>
                <w:color w:val="auto"/>
                <w:sz w:val="24"/>
                <w:highlight w:val="none"/>
              </w:rPr>
            </w:pPr>
          </w:p>
        </w:tc>
        <w:tc>
          <w:tcPr>
            <w:tcW w:w="1260" w:type="dxa"/>
            <w:noWrap w:val="0"/>
            <w:vAlign w:val="center"/>
          </w:tcPr>
          <w:p w14:paraId="6E0EF7F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74F6DCD">
            <w:pPr>
              <w:jc w:val="center"/>
              <w:rPr>
                <w:rFonts w:hint="eastAsia" w:ascii="宋体" w:hAnsi="宋体" w:cs="Arial"/>
                <w:bCs/>
                <w:color w:val="auto"/>
                <w:sz w:val="24"/>
                <w:highlight w:val="none"/>
              </w:rPr>
            </w:pPr>
          </w:p>
        </w:tc>
        <w:tc>
          <w:tcPr>
            <w:tcW w:w="1260" w:type="dxa"/>
            <w:gridSpan w:val="3"/>
            <w:noWrap w:val="0"/>
            <w:vAlign w:val="center"/>
          </w:tcPr>
          <w:p w14:paraId="2A76CBC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1B1327F">
            <w:pPr>
              <w:jc w:val="center"/>
              <w:rPr>
                <w:rFonts w:hint="eastAsia" w:ascii="宋体" w:hAnsi="宋体" w:cs="Arial"/>
                <w:bCs/>
                <w:color w:val="auto"/>
                <w:sz w:val="24"/>
                <w:highlight w:val="none"/>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5239A1">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72811EA">
            <w:pPr>
              <w:jc w:val="center"/>
              <w:rPr>
                <w:rFonts w:hint="eastAsia" w:ascii="宋体" w:hAnsi="宋体" w:cs="Arial"/>
                <w:bCs/>
                <w:color w:val="auto"/>
                <w:sz w:val="24"/>
                <w:highlight w:val="none"/>
              </w:rPr>
            </w:pPr>
          </w:p>
        </w:tc>
        <w:tc>
          <w:tcPr>
            <w:tcW w:w="4897" w:type="dxa"/>
            <w:gridSpan w:val="7"/>
            <w:noWrap w:val="0"/>
            <w:vAlign w:val="center"/>
          </w:tcPr>
          <w:p w14:paraId="29FDF620">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C972F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0CD1AEC">
            <w:pPr>
              <w:jc w:val="center"/>
              <w:rPr>
                <w:rFonts w:hint="eastAsia" w:ascii="宋体" w:hAnsi="宋体" w:cs="Arial"/>
                <w:bCs/>
                <w:color w:val="auto"/>
                <w:sz w:val="24"/>
                <w:highlight w:val="none"/>
              </w:rPr>
            </w:pPr>
          </w:p>
        </w:tc>
        <w:tc>
          <w:tcPr>
            <w:tcW w:w="1260" w:type="dxa"/>
            <w:vMerge w:val="restart"/>
            <w:noWrap w:val="0"/>
            <w:vAlign w:val="center"/>
          </w:tcPr>
          <w:p w14:paraId="1E25BB2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2142B4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2F3066B">
            <w:pPr>
              <w:jc w:val="center"/>
              <w:rPr>
                <w:rFonts w:hint="eastAsia" w:ascii="宋体" w:hAnsi="宋体" w:cs="Arial"/>
                <w:bCs/>
                <w:color w:val="auto"/>
                <w:sz w:val="24"/>
                <w:highlight w:val="none"/>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C7C983">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713D32">
            <w:pPr>
              <w:jc w:val="center"/>
              <w:rPr>
                <w:rFonts w:hint="eastAsia" w:ascii="宋体" w:hAnsi="宋体" w:cs="Arial"/>
                <w:bCs/>
                <w:color w:val="auto"/>
                <w:sz w:val="24"/>
                <w:highlight w:val="none"/>
              </w:rPr>
            </w:pPr>
          </w:p>
        </w:tc>
        <w:tc>
          <w:tcPr>
            <w:tcW w:w="1260" w:type="dxa"/>
            <w:vMerge w:val="continue"/>
            <w:noWrap w:val="0"/>
            <w:vAlign w:val="center"/>
          </w:tcPr>
          <w:p w14:paraId="227A592A">
            <w:pPr>
              <w:jc w:val="center"/>
              <w:rPr>
                <w:rFonts w:hint="eastAsia" w:ascii="宋体" w:hAnsi="宋体" w:cs="Arial"/>
                <w:bCs/>
                <w:color w:val="auto"/>
                <w:sz w:val="24"/>
                <w:highlight w:val="none"/>
              </w:rPr>
            </w:pPr>
          </w:p>
        </w:tc>
        <w:tc>
          <w:tcPr>
            <w:tcW w:w="2101" w:type="dxa"/>
            <w:gridSpan w:val="3"/>
            <w:noWrap w:val="0"/>
            <w:vAlign w:val="center"/>
          </w:tcPr>
          <w:p w14:paraId="119A2B3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8DF054B">
            <w:pPr>
              <w:jc w:val="center"/>
              <w:rPr>
                <w:rFonts w:hint="eastAsia" w:ascii="宋体" w:hAnsi="宋体" w:cs="Arial"/>
                <w:bCs/>
                <w:color w:val="auto"/>
                <w:sz w:val="24"/>
                <w:highlight w:val="none"/>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92B551">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6E97BD">
            <w:pPr>
              <w:jc w:val="center"/>
              <w:rPr>
                <w:rFonts w:hint="eastAsia" w:ascii="宋体" w:hAnsi="宋体" w:cs="Arial"/>
                <w:bCs/>
                <w:color w:val="auto"/>
                <w:sz w:val="24"/>
                <w:highlight w:val="none"/>
              </w:rPr>
            </w:pPr>
          </w:p>
        </w:tc>
        <w:tc>
          <w:tcPr>
            <w:tcW w:w="1260" w:type="dxa"/>
            <w:vMerge w:val="continue"/>
            <w:noWrap w:val="0"/>
            <w:vAlign w:val="center"/>
          </w:tcPr>
          <w:p w14:paraId="153366DB">
            <w:pPr>
              <w:jc w:val="center"/>
              <w:rPr>
                <w:rFonts w:hint="eastAsia" w:ascii="宋体" w:hAnsi="宋体" w:cs="Arial"/>
                <w:bCs/>
                <w:color w:val="auto"/>
                <w:sz w:val="24"/>
                <w:highlight w:val="none"/>
              </w:rPr>
            </w:pPr>
          </w:p>
        </w:tc>
        <w:tc>
          <w:tcPr>
            <w:tcW w:w="2101" w:type="dxa"/>
            <w:gridSpan w:val="3"/>
            <w:noWrap w:val="0"/>
            <w:vAlign w:val="center"/>
          </w:tcPr>
          <w:p w14:paraId="148E7F4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458A4CF">
            <w:pPr>
              <w:jc w:val="center"/>
              <w:rPr>
                <w:rFonts w:hint="eastAsia" w:ascii="宋体" w:hAnsi="宋体" w:cs="Arial"/>
                <w:bCs/>
                <w:color w:val="auto"/>
                <w:sz w:val="24"/>
                <w:highlight w:val="none"/>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A2185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A5579E5">
            <w:pPr>
              <w:jc w:val="center"/>
              <w:rPr>
                <w:rFonts w:hint="eastAsia" w:ascii="宋体" w:hAnsi="宋体" w:cs="Arial"/>
                <w:bCs/>
                <w:color w:val="auto"/>
                <w:sz w:val="24"/>
                <w:highlight w:val="none"/>
              </w:rPr>
            </w:pPr>
          </w:p>
        </w:tc>
        <w:tc>
          <w:tcPr>
            <w:tcW w:w="1260" w:type="dxa"/>
            <w:vMerge w:val="continue"/>
            <w:noWrap w:val="0"/>
            <w:vAlign w:val="center"/>
          </w:tcPr>
          <w:p w14:paraId="59A5AC83">
            <w:pPr>
              <w:jc w:val="center"/>
              <w:rPr>
                <w:rFonts w:hint="eastAsia" w:ascii="宋体" w:hAnsi="宋体" w:cs="Arial"/>
                <w:bCs/>
                <w:color w:val="auto"/>
                <w:sz w:val="24"/>
                <w:highlight w:val="none"/>
              </w:rPr>
            </w:pPr>
          </w:p>
        </w:tc>
        <w:tc>
          <w:tcPr>
            <w:tcW w:w="2101" w:type="dxa"/>
            <w:gridSpan w:val="3"/>
            <w:noWrap w:val="0"/>
            <w:vAlign w:val="center"/>
          </w:tcPr>
          <w:p w14:paraId="278034FB">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6D062F3">
            <w:pPr>
              <w:jc w:val="center"/>
              <w:rPr>
                <w:rFonts w:hint="eastAsia" w:ascii="宋体" w:hAnsi="宋体" w:cs="Arial"/>
                <w:bCs/>
                <w:color w:val="auto"/>
                <w:sz w:val="24"/>
                <w:highlight w:val="none"/>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68638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830ADBF">
            <w:pPr>
              <w:jc w:val="center"/>
              <w:rPr>
                <w:rFonts w:hint="eastAsia" w:ascii="宋体" w:hAnsi="宋体" w:cs="Arial"/>
                <w:bCs/>
                <w:color w:val="auto"/>
                <w:sz w:val="24"/>
                <w:highlight w:val="none"/>
              </w:rPr>
            </w:pPr>
          </w:p>
        </w:tc>
        <w:tc>
          <w:tcPr>
            <w:tcW w:w="1260" w:type="dxa"/>
            <w:vMerge w:val="continue"/>
            <w:noWrap w:val="0"/>
            <w:vAlign w:val="center"/>
          </w:tcPr>
          <w:p w14:paraId="4446607B">
            <w:pPr>
              <w:jc w:val="center"/>
              <w:rPr>
                <w:rFonts w:hint="eastAsia" w:ascii="宋体" w:hAnsi="宋体" w:cs="Arial"/>
                <w:bCs/>
                <w:color w:val="auto"/>
                <w:sz w:val="24"/>
                <w:highlight w:val="none"/>
              </w:rPr>
            </w:pPr>
          </w:p>
        </w:tc>
        <w:tc>
          <w:tcPr>
            <w:tcW w:w="2101" w:type="dxa"/>
            <w:gridSpan w:val="3"/>
            <w:noWrap w:val="0"/>
            <w:vAlign w:val="center"/>
          </w:tcPr>
          <w:p w14:paraId="6814BE7A">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A7D4330">
            <w:pPr>
              <w:jc w:val="center"/>
              <w:rPr>
                <w:rFonts w:hint="eastAsia" w:ascii="宋体" w:hAnsi="宋体" w:cs="Arial"/>
                <w:bCs/>
                <w:color w:val="auto"/>
                <w:sz w:val="24"/>
                <w:highlight w:val="none"/>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7DB4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FF22684">
            <w:pPr>
              <w:jc w:val="center"/>
              <w:rPr>
                <w:rFonts w:hint="eastAsia" w:ascii="宋体" w:hAnsi="宋体" w:cs="Arial"/>
                <w:bCs/>
                <w:color w:val="auto"/>
                <w:sz w:val="24"/>
                <w:highlight w:val="none"/>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B2D09C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079E5C8">
            <w:pPr>
              <w:jc w:val="center"/>
              <w:rPr>
                <w:rFonts w:hint="eastAsia" w:ascii="宋体" w:hAnsi="宋体" w:cs="Arial"/>
                <w:bCs/>
                <w:color w:val="auto"/>
                <w:sz w:val="24"/>
                <w:highlight w:val="none"/>
              </w:rPr>
            </w:pPr>
          </w:p>
        </w:tc>
      </w:tr>
    </w:tbl>
    <w:p w14:paraId="632F6B3D">
      <w:pPr>
        <w:adjustRightInd w:val="0"/>
        <w:spacing w:line="400" w:lineRule="exact"/>
        <w:jc w:val="left"/>
        <w:rPr>
          <w:rFonts w:hint="eastAsia" w:ascii="宋体" w:hAnsi="宋体"/>
          <w:color w:val="auto"/>
          <w:sz w:val="24"/>
          <w:highlight w:val="none"/>
        </w:rPr>
      </w:pPr>
    </w:p>
    <w:p w14:paraId="578B4D5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BFFDE6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D9A2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1980EA">
      <w:pPr>
        <w:pStyle w:val="2"/>
        <w:rPr>
          <w:rFonts w:hint="eastAsia"/>
          <w:color w:val="auto"/>
          <w:highlight w:val="none"/>
        </w:rPr>
      </w:pPr>
      <w:bookmarkStart w:id="121" w:name="_Toc91771171"/>
      <w:bookmarkStart w:id="122" w:name="_Toc17521"/>
    </w:p>
    <w:p w14:paraId="0A87247E">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23" w:name="_Toc3229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、供应商本项目管理、技术、服务人员情况表</w:t>
      </w:r>
      <w:bookmarkEnd w:id="121"/>
      <w:bookmarkEnd w:id="122"/>
      <w:bookmarkEnd w:id="12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003EA3D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99A25E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1934954">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805FF2A">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63F995D">
            <w:pPr>
              <w:jc w:val="center"/>
              <w:rPr>
                <w:rFonts w:hint="eastAsia"/>
                <w:b/>
                <w:color w:val="auto"/>
                <w:sz w:val="24"/>
                <w:highlight w:val="none"/>
              </w:rPr>
            </w:pPr>
            <w:r>
              <w:rPr>
                <w:rFonts w:hint="eastAsia"/>
                <w:b/>
                <w:color w:val="auto"/>
                <w:sz w:val="24"/>
                <w:highlight w:val="none"/>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highlight w:val="none"/>
              </w:rPr>
            </w:pPr>
          </w:p>
        </w:tc>
        <w:tc>
          <w:tcPr>
            <w:tcW w:w="947" w:type="dxa"/>
            <w:vMerge w:val="continue"/>
            <w:noWrap w:val="0"/>
            <w:vAlign w:val="center"/>
          </w:tcPr>
          <w:p w14:paraId="733F2D0E">
            <w:pPr>
              <w:jc w:val="center"/>
              <w:rPr>
                <w:rFonts w:hint="eastAsia"/>
                <w:b/>
                <w:color w:val="auto"/>
                <w:sz w:val="24"/>
                <w:highlight w:val="none"/>
              </w:rPr>
            </w:pPr>
          </w:p>
        </w:tc>
        <w:tc>
          <w:tcPr>
            <w:tcW w:w="947" w:type="dxa"/>
            <w:vMerge w:val="continue"/>
            <w:noWrap w:val="0"/>
            <w:vAlign w:val="center"/>
          </w:tcPr>
          <w:p w14:paraId="6B3FC22B">
            <w:pPr>
              <w:jc w:val="center"/>
              <w:rPr>
                <w:rFonts w:hint="eastAsia"/>
                <w:b/>
                <w:color w:val="auto"/>
                <w:sz w:val="24"/>
                <w:highlight w:val="none"/>
              </w:rPr>
            </w:pPr>
          </w:p>
        </w:tc>
        <w:tc>
          <w:tcPr>
            <w:tcW w:w="947" w:type="dxa"/>
            <w:vMerge w:val="continue"/>
            <w:noWrap w:val="0"/>
            <w:vAlign w:val="center"/>
          </w:tcPr>
          <w:p w14:paraId="548D8582">
            <w:pPr>
              <w:jc w:val="center"/>
              <w:rPr>
                <w:rFonts w:hint="eastAsia"/>
                <w:b/>
                <w:color w:val="auto"/>
                <w:sz w:val="24"/>
                <w:highlight w:val="none"/>
              </w:rPr>
            </w:pPr>
          </w:p>
        </w:tc>
        <w:tc>
          <w:tcPr>
            <w:tcW w:w="947" w:type="dxa"/>
            <w:vMerge w:val="continue"/>
            <w:noWrap w:val="0"/>
            <w:vAlign w:val="center"/>
          </w:tcPr>
          <w:p w14:paraId="6746863F">
            <w:pPr>
              <w:jc w:val="center"/>
              <w:rPr>
                <w:rFonts w:hint="eastAsia"/>
                <w:b/>
                <w:color w:val="auto"/>
                <w:sz w:val="24"/>
                <w:highlight w:val="none"/>
              </w:rPr>
            </w:pPr>
          </w:p>
        </w:tc>
        <w:tc>
          <w:tcPr>
            <w:tcW w:w="947" w:type="dxa"/>
            <w:noWrap w:val="0"/>
            <w:vAlign w:val="center"/>
          </w:tcPr>
          <w:p w14:paraId="34C6172A">
            <w:pPr>
              <w:jc w:val="center"/>
              <w:rPr>
                <w:rFonts w:hint="eastAsia"/>
                <w:b/>
                <w:color w:val="auto"/>
                <w:sz w:val="24"/>
                <w:highlight w:val="none"/>
              </w:rPr>
            </w:pPr>
            <w:r>
              <w:rPr>
                <w:rFonts w:hint="eastAsia"/>
                <w:b/>
                <w:color w:val="auto"/>
                <w:sz w:val="24"/>
                <w:highlight w:val="none"/>
              </w:rPr>
              <w:t>证书</w:t>
            </w:r>
          </w:p>
          <w:p w14:paraId="6E93A9D5">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6E9C72E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EAE4A23">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564A3F39">
            <w:pPr>
              <w:jc w:val="center"/>
              <w:rPr>
                <w:rFonts w:hint="eastAsia"/>
                <w:b/>
                <w:color w:val="auto"/>
                <w:sz w:val="24"/>
                <w:highlight w:val="none"/>
              </w:rPr>
            </w:pPr>
            <w:r>
              <w:rPr>
                <w:rFonts w:hint="eastAsia"/>
                <w:b/>
                <w:color w:val="auto"/>
                <w:sz w:val="24"/>
                <w:highlight w:val="none"/>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highlight w:val="none"/>
              </w:rPr>
            </w:pPr>
            <w:r>
              <w:rPr>
                <w:rFonts w:hint="eastAsia"/>
                <w:color w:val="auto"/>
                <w:sz w:val="24"/>
                <w:highlight w:val="none"/>
              </w:rPr>
              <w:t>管理</w:t>
            </w:r>
          </w:p>
          <w:p w14:paraId="20ED077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E923581">
            <w:pPr>
              <w:rPr>
                <w:rFonts w:hint="eastAsia"/>
                <w:color w:val="auto"/>
                <w:sz w:val="24"/>
                <w:highlight w:val="none"/>
              </w:rPr>
            </w:pPr>
          </w:p>
        </w:tc>
        <w:tc>
          <w:tcPr>
            <w:tcW w:w="947" w:type="dxa"/>
            <w:noWrap w:val="0"/>
            <w:vAlign w:val="center"/>
          </w:tcPr>
          <w:p w14:paraId="7305BD22">
            <w:pPr>
              <w:rPr>
                <w:rFonts w:hint="eastAsia"/>
                <w:color w:val="auto"/>
                <w:sz w:val="24"/>
                <w:highlight w:val="none"/>
              </w:rPr>
            </w:pPr>
          </w:p>
        </w:tc>
        <w:tc>
          <w:tcPr>
            <w:tcW w:w="947" w:type="dxa"/>
            <w:noWrap w:val="0"/>
            <w:vAlign w:val="center"/>
          </w:tcPr>
          <w:p w14:paraId="2BAB4C3E">
            <w:pPr>
              <w:rPr>
                <w:rFonts w:hint="eastAsia"/>
                <w:color w:val="auto"/>
                <w:sz w:val="24"/>
                <w:highlight w:val="none"/>
              </w:rPr>
            </w:pPr>
          </w:p>
        </w:tc>
        <w:tc>
          <w:tcPr>
            <w:tcW w:w="947" w:type="dxa"/>
            <w:noWrap w:val="0"/>
            <w:vAlign w:val="center"/>
          </w:tcPr>
          <w:p w14:paraId="5A60C3AE">
            <w:pPr>
              <w:rPr>
                <w:rFonts w:hint="eastAsia"/>
                <w:color w:val="auto"/>
                <w:sz w:val="24"/>
                <w:highlight w:val="none"/>
              </w:rPr>
            </w:pPr>
          </w:p>
        </w:tc>
        <w:tc>
          <w:tcPr>
            <w:tcW w:w="947" w:type="dxa"/>
            <w:noWrap w:val="0"/>
            <w:vAlign w:val="center"/>
          </w:tcPr>
          <w:p w14:paraId="7F6BD8B8">
            <w:pPr>
              <w:rPr>
                <w:rFonts w:hint="eastAsia"/>
                <w:color w:val="auto"/>
                <w:sz w:val="24"/>
                <w:highlight w:val="none"/>
              </w:rPr>
            </w:pPr>
          </w:p>
        </w:tc>
        <w:tc>
          <w:tcPr>
            <w:tcW w:w="947" w:type="dxa"/>
            <w:noWrap w:val="0"/>
            <w:vAlign w:val="center"/>
          </w:tcPr>
          <w:p w14:paraId="348EE0D1">
            <w:pPr>
              <w:rPr>
                <w:rFonts w:hint="eastAsia"/>
                <w:color w:val="auto"/>
                <w:sz w:val="24"/>
                <w:highlight w:val="none"/>
              </w:rPr>
            </w:pPr>
          </w:p>
        </w:tc>
        <w:tc>
          <w:tcPr>
            <w:tcW w:w="947" w:type="dxa"/>
            <w:noWrap w:val="0"/>
            <w:vAlign w:val="center"/>
          </w:tcPr>
          <w:p w14:paraId="1D20D6A0">
            <w:pPr>
              <w:rPr>
                <w:rFonts w:hint="eastAsia"/>
                <w:color w:val="auto"/>
                <w:sz w:val="24"/>
                <w:highlight w:val="none"/>
              </w:rPr>
            </w:pPr>
          </w:p>
        </w:tc>
        <w:tc>
          <w:tcPr>
            <w:tcW w:w="947" w:type="dxa"/>
            <w:noWrap w:val="0"/>
            <w:vAlign w:val="center"/>
          </w:tcPr>
          <w:p w14:paraId="2C673626">
            <w:pPr>
              <w:rPr>
                <w:rFonts w:hint="eastAsia"/>
                <w:color w:val="auto"/>
                <w:sz w:val="24"/>
                <w:highlight w:val="none"/>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6332D">
            <w:pPr>
              <w:jc w:val="center"/>
              <w:rPr>
                <w:rFonts w:hint="eastAsia"/>
                <w:color w:val="auto"/>
                <w:sz w:val="24"/>
                <w:highlight w:val="none"/>
              </w:rPr>
            </w:pPr>
          </w:p>
        </w:tc>
        <w:tc>
          <w:tcPr>
            <w:tcW w:w="947" w:type="dxa"/>
            <w:noWrap w:val="0"/>
            <w:vAlign w:val="center"/>
          </w:tcPr>
          <w:p w14:paraId="78D16BED">
            <w:pPr>
              <w:rPr>
                <w:rFonts w:hint="eastAsia"/>
                <w:color w:val="auto"/>
                <w:sz w:val="24"/>
                <w:highlight w:val="none"/>
              </w:rPr>
            </w:pPr>
          </w:p>
        </w:tc>
        <w:tc>
          <w:tcPr>
            <w:tcW w:w="947" w:type="dxa"/>
            <w:noWrap w:val="0"/>
            <w:vAlign w:val="center"/>
          </w:tcPr>
          <w:p w14:paraId="074B2981">
            <w:pPr>
              <w:rPr>
                <w:rFonts w:hint="eastAsia"/>
                <w:color w:val="auto"/>
                <w:sz w:val="24"/>
                <w:highlight w:val="none"/>
              </w:rPr>
            </w:pPr>
          </w:p>
        </w:tc>
        <w:tc>
          <w:tcPr>
            <w:tcW w:w="947" w:type="dxa"/>
            <w:noWrap w:val="0"/>
            <w:vAlign w:val="center"/>
          </w:tcPr>
          <w:p w14:paraId="786E68B3">
            <w:pPr>
              <w:rPr>
                <w:rFonts w:hint="eastAsia"/>
                <w:color w:val="auto"/>
                <w:sz w:val="24"/>
                <w:highlight w:val="none"/>
              </w:rPr>
            </w:pPr>
          </w:p>
        </w:tc>
        <w:tc>
          <w:tcPr>
            <w:tcW w:w="947" w:type="dxa"/>
            <w:noWrap w:val="0"/>
            <w:vAlign w:val="center"/>
          </w:tcPr>
          <w:p w14:paraId="12A69068">
            <w:pPr>
              <w:rPr>
                <w:rFonts w:hint="eastAsia"/>
                <w:color w:val="auto"/>
                <w:sz w:val="24"/>
                <w:highlight w:val="none"/>
              </w:rPr>
            </w:pPr>
          </w:p>
        </w:tc>
        <w:tc>
          <w:tcPr>
            <w:tcW w:w="947" w:type="dxa"/>
            <w:noWrap w:val="0"/>
            <w:vAlign w:val="center"/>
          </w:tcPr>
          <w:p w14:paraId="3CA678E8">
            <w:pPr>
              <w:rPr>
                <w:rFonts w:hint="eastAsia"/>
                <w:color w:val="auto"/>
                <w:sz w:val="24"/>
                <w:highlight w:val="none"/>
              </w:rPr>
            </w:pPr>
          </w:p>
        </w:tc>
        <w:tc>
          <w:tcPr>
            <w:tcW w:w="947" w:type="dxa"/>
            <w:noWrap w:val="0"/>
            <w:vAlign w:val="center"/>
          </w:tcPr>
          <w:p w14:paraId="6FD0936B">
            <w:pPr>
              <w:rPr>
                <w:rFonts w:hint="eastAsia"/>
                <w:color w:val="auto"/>
                <w:sz w:val="24"/>
                <w:highlight w:val="none"/>
              </w:rPr>
            </w:pPr>
          </w:p>
        </w:tc>
        <w:tc>
          <w:tcPr>
            <w:tcW w:w="947" w:type="dxa"/>
            <w:noWrap w:val="0"/>
            <w:vAlign w:val="center"/>
          </w:tcPr>
          <w:p w14:paraId="7C66BC1C">
            <w:pPr>
              <w:rPr>
                <w:rFonts w:hint="eastAsia"/>
                <w:color w:val="auto"/>
                <w:sz w:val="24"/>
                <w:highlight w:val="none"/>
              </w:rPr>
            </w:pPr>
          </w:p>
        </w:tc>
        <w:tc>
          <w:tcPr>
            <w:tcW w:w="947" w:type="dxa"/>
            <w:noWrap w:val="0"/>
            <w:vAlign w:val="center"/>
          </w:tcPr>
          <w:p w14:paraId="2A77A645">
            <w:pPr>
              <w:rPr>
                <w:rFonts w:hint="eastAsia"/>
                <w:color w:val="auto"/>
                <w:sz w:val="24"/>
                <w:highlight w:val="none"/>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highlight w:val="none"/>
              </w:rPr>
            </w:pPr>
          </w:p>
        </w:tc>
        <w:tc>
          <w:tcPr>
            <w:tcW w:w="947" w:type="dxa"/>
            <w:noWrap w:val="0"/>
            <w:vAlign w:val="center"/>
          </w:tcPr>
          <w:p w14:paraId="7D7FAD6C">
            <w:pPr>
              <w:rPr>
                <w:rFonts w:hint="eastAsia"/>
                <w:color w:val="auto"/>
                <w:sz w:val="24"/>
                <w:highlight w:val="none"/>
              </w:rPr>
            </w:pPr>
          </w:p>
        </w:tc>
        <w:tc>
          <w:tcPr>
            <w:tcW w:w="947" w:type="dxa"/>
            <w:noWrap w:val="0"/>
            <w:vAlign w:val="center"/>
          </w:tcPr>
          <w:p w14:paraId="6B10C295">
            <w:pPr>
              <w:rPr>
                <w:rFonts w:hint="eastAsia"/>
                <w:color w:val="auto"/>
                <w:sz w:val="24"/>
                <w:highlight w:val="none"/>
              </w:rPr>
            </w:pPr>
          </w:p>
        </w:tc>
        <w:tc>
          <w:tcPr>
            <w:tcW w:w="947" w:type="dxa"/>
            <w:noWrap w:val="0"/>
            <w:vAlign w:val="center"/>
          </w:tcPr>
          <w:p w14:paraId="48C2DB4D">
            <w:pPr>
              <w:rPr>
                <w:rFonts w:hint="eastAsia"/>
                <w:color w:val="auto"/>
                <w:sz w:val="24"/>
                <w:highlight w:val="none"/>
              </w:rPr>
            </w:pPr>
          </w:p>
        </w:tc>
        <w:tc>
          <w:tcPr>
            <w:tcW w:w="947" w:type="dxa"/>
            <w:noWrap w:val="0"/>
            <w:vAlign w:val="center"/>
          </w:tcPr>
          <w:p w14:paraId="0DB5B9D0">
            <w:pPr>
              <w:rPr>
                <w:rFonts w:hint="eastAsia"/>
                <w:color w:val="auto"/>
                <w:sz w:val="24"/>
                <w:highlight w:val="none"/>
              </w:rPr>
            </w:pPr>
          </w:p>
        </w:tc>
        <w:tc>
          <w:tcPr>
            <w:tcW w:w="947" w:type="dxa"/>
            <w:noWrap w:val="0"/>
            <w:vAlign w:val="center"/>
          </w:tcPr>
          <w:p w14:paraId="686AAF26">
            <w:pPr>
              <w:rPr>
                <w:rFonts w:hint="eastAsia"/>
                <w:color w:val="auto"/>
                <w:sz w:val="24"/>
                <w:highlight w:val="none"/>
              </w:rPr>
            </w:pPr>
          </w:p>
        </w:tc>
        <w:tc>
          <w:tcPr>
            <w:tcW w:w="947" w:type="dxa"/>
            <w:noWrap w:val="0"/>
            <w:vAlign w:val="center"/>
          </w:tcPr>
          <w:p w14:paraId="608F51D4">
            <w:pPr>
              <w:rPr>
                <w:rFonts w:hint="eastAsia"/>
                <w:color w:val="auto"/>
                <w:sz w:val="24"/>
                <w:highlight w:val="none"/>
              </w:rPr>
            </w:pPr>
          </w:p>
        </w:tc>
        <w:tc>
          <w:tcPr>
            <w:tcW w:w="947" w:type="dxa"/>
            <w:noWrap w:val="0"/>
            <w:vAlign w:val="center"/>
          </w:tcPr>
          <w:p w14:paraId="6C13B9A7">
            <w:pPr>
              <w:rPr>
                <w:rFonts w:hint="eastAsia"/>
                <w:color w:val="auto"/>
                <w:sz w:val="24"/>
                <w:highlight w:val="none"/>
              </w:rPr>
            </w:pPr>
          </w:p>
        </w:tc>
        <w:tc>
          <w:tcPr>
            <w:tcW w:w="947" w:type="dxa"/>
            <w:noWrap w:val="0"/>
            <w:vAlign w:val="center"/>
          </w:tcPr>
          <w:p w14:paraId="5892BAB0">
            <w:pPr>
              <w:rPr>
                <w:rFonts w:hint="eastAsia"/>
                <w:color w:val="auto"/>
                <w:sz w:val="24"/>
                <w:highlight w:val="none"/>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highlight w:val="none"/>
              </w:rPr>
            </w:pPr>
            <w:r>
              <w:rPr>
                <w:rFonts w:hint="eastAsia"/>
                <w:color w:val="auto"/>
                <w:sz w:val="24"/>
                <w:highlight w:val="none"/>
              </w:rPr>
              <w:t>技术</w:t>
            </w:r>
          </w:p>
          <w:p w14:paraId="5AFC25C0">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0BE8535">
            <w:pPr>
              <w:rPr>
                <w:rFonts w:hint="eastAsia"/>
                <w:color w:val="auto"/>
                <w:sz w:val="24"/>
                <w:highlight w:val="none"/>
              </w:rPr>
            </w:pPr>
          </w:p>
        </w:tc>
        <w:tc>
          <w:tcPr>
            <w:tcW w:w="947" w:type="dxa"/>
            <w:noWrap w:val="0"/>
            <w:vAlign w:val="center"/>
          </w:tcPr>
          <w:p w14:paraId="67237651">
            <w:pPr>
              <w:rPr>
                <w:rFonts w:hint="eastAsia"/>
                <w:color w:val="auto"/>
                <w:sz w:val="24"/>
                <w:highlight w:val="none"/>
              </w:rPr>
            </w:pPr>
          </w:p>
        </w:tc>
        <w:tc>
          <w:tcPr>
            <w:tcW w:w="947" w:type="dxa"/>
            <w:noWrap w:val="0"/>
            <w:vAlign w:val="center"/>
          </w:tcPr>
          <w:p w14:paraId="0565CC9A">
            <w:pPr>
              <w:rPr>
                <w:rFonts w:hint="eastAsia"/>
                <w:color w:val="auto"/>
                <w:sz w:val="24"/>
                <w:highlight w:val="none"/>
              </w:rPr>
            </w:pPr>
          </w:p>
        </w:tc>
        <w:tc>
          <w:tcPr>
            <w:tcW w:w="947" w:type="dxa"/>
            <w:noWrap w:val="0"/>
            <w:vAlign w:val="center"/>
          </w:tcPr>
          <w:p w14:paraId="7C065235">
            <w:pPr>
              <w:rPr>
                <w:rFonts w:hint="eastAsia"/>
                <w:color w:val="auto"/>
                <w:sz w:val="24"/>
                <w:highlight w:val="none"/>
              </w:rPr>
            </w:pPr>
          </w:p>
        </w:tc>
        <w:tc>
          <w:tcPr>
            <w:tcW w:w="947" w:type="dxa"/>
            <w:noWrap w:val="0"/>
            <w:vAlign w:val="center"/>
          </w:tcPr>
          <w:p w14:paraId="66768CEA">
            <w:pPr>
              <w:rPr>
                <w:rFonts w:hint="eastAsia"/>
                <w:color w:val="auto"/>
                <w:sz w:val="24"/>
                <w:highlight w:val="none"/>
              </w:rPr>
            </w:pPr>
          </w:p>
        </w:tc>
        <w:tc>
          <w:tcPr>
            <w:tcW w:w="947" w:type="dxa"/>
            <w:noWrap w:val="0"/>
            <w:vAlign w:val="center"/>
          </w:tcPr>
          <w:p w14:paraId="2EA37835">
            <w:pPr>
              <w:rPr>
                <w:rFonts w:hint="eastAsia"/>
                <w:color w:val="auto"/>
                <w:sz w:val="24"/>
                <w:highlight w:val="none"/>
              </w:rPr>
            </w:pPr>
          </w:p>
        </w:tc>
        <w:tc>
          <w:tcPr>
            <w:tcW w:w="947" w:type="dxa"/>
            <w:noWrap w:val="0"/>
            <w:vAlign w:val="center"/>
          </w:tcPr>
          <w:p w14:paraId="345B3827">
            <w:pPr>
              <w:rPr>
                <w:rFonts w:hint="eastAsia"/>
                <w:color w:val="auto"/>
                <w:sz w:val="24"/>
                <w:highlight w:val="none"/>
              </w:rPr>
            </w:pPr>
          </w:p>
        </w:tc>
        <w:tc>
          <w:tcPr>
            <w:tcW w:w="947" w:type="dxa"/>
            <w:noWrap w:val="0"/>
            <w:vAlign w:val="center"/>
          </w:tcPr>
          <w:p w14:paraId="2D456FD3">
            <w:pPr>
              <w:rPr>
                <w:rFonts w:hint="eastAsia"/>
                <w:color w:val="auto"/>
                <w:sz w:val="24"/>
                <w:highlight w:val="none"/>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highlight w:val="none"/>
              </w:rPr>
            </w:pPr>
          </w:p>
        </w:tc>
        <w:tc>
          <w:tcPr>
            <w:tcW w:w="947" w:type="dxa"/>
            <w:noWrap w:val="0"/>
            <w:vAlign w:val="center"/>
          </w:tcPr>
          <w:p w14:paraId="1917D0CB">
            <w:pPr>
              <w:rPr>
                <w:rFonts w:hint="eastAsia"/>
                <w:color w:val="auto"/>
                <w:sz w:val="24"/>
                <w:highlight w:val="none"/>
              </w:rPr>
            </w:pPr>
          </w:p>
        </w:tc>
        <w:tc>
          <w:tcPr>
            <w:tcW w:w="947" w:type="dxa"/>
            <w:noWrap w:val="0"/>
            <w:vAlign w:val="center"/>
          </w:tcPr>
          <w:p w14:paraId="592BB1BE">
            <w:pPr>
              <w:rPr>
                <w:rFonts w:hint="eastAsia"/>
                <w:color w:val="auto"/>
                <w:sz w:val="24"/>
                <w:highlight w:val="none"/>
              </w:rPr>
            </w:pPr>
          </w:p>
        </w:tc>
        <w:tc>
          <w:tcPr>
            <w:tcW w:w="947" w:type="dxa"/>
            <w:noWrap w:val="0"/>
            <w:vAlign w:val="center"/>
          </w:tcPr>
          <w:p w14:paraId="4271D885">
            <w:pPr>
              <w:rPr>
                <w:rFonts w:hint="eastAsia"/>
                <w:color w:val="auto"/>
                <w:sz w:val="24"/>
                <w:highlight w:val="none"/>
              </w:rPr>
            </w:pPr>
          </w:p>
        </w:tc>
        <w:tc>
          <w:tcPr>
            <w:tcW w:w="947" w:type="dxa"/>
            <w:noWrap w:val="0"/>
            <w:vAlign w:val="center"/>
          </w:tcPr>
          <w:p w14:paraId="6F4477B4">
            <w:pPr>
              <w:rPr>
                <w:rFonts w:hint="eastAsia"/>
                <w:color w:val="auto"/>
                <w:sz w:val="24"/>
                <w:highlight w:val="none"/>
              </w:rPr>
            </w:pPr>
          </w:p>
        </w:tc>
        <w:tc>
          <w:tcPr>
            <w:tcW w:w="947" w:type="dxa"/>
            <w:noWrap w:val="0"/>
            <w:vAlign w:val="center"/>
          </w:tcPr>
          <w:p w14:paraId="5549CEF6">
            <w:pPr>
              <w:rPr>
                <w:rFonts w:hint="eastAsia"/>
                <w:color w:val="auto"/>
                <w:sz w:val="24"/>
                <w:highlight w:val="none"/>
              </w:rPr>
            </w:pPr>
          </w:p>
        </w:tc>
        <w:tc>
          <w:tcPr>
            <w:tcW w:w="947" w:type="dxa"/>
            <w:noWrap w:val="0"/>
            <w:vAlign w:val="center"/>
          </w:tcPr>
          <w:p w14:paraId="3BFC57C7">
            <w:pPr>
              <w:rPr>
                <w:rFonts w:hint="eastAsia"/>
                <w:color w:val="auto"/>
                <w:sz w:val="24"/>
                <w:highlight w:val="none"/>
              </w:rPr>
            </w:pPr>
          </w:p>
        </w:tc>
        <w:tc>
          <w:tcPr>
            <w:tcW w:w="947" w:type="dxa"/>
            <w:noWrap w:val="0"/>
            <w:vAlign w:val="center"/>
          </w:tcPr>
          <w:p w14:paraId="0E028C7A">
            <w:pPr>
              <w:rPr>
                <w:rFonts w:hint="eastAsia"/>
                <w:color w:val="auto"/>
                <w:sz w:val="24"/>
                <w:highlight w:val="none"/>
              </w:rPr>
            </w:pPr>
          </w:p>
        </w:tc>
        <w:tc>
          <w:tcPr>
            <w:tcW w:w="947" w:type="dxa"/>
            <w:noWrap w:val="0"/>
            <w:vAlign w:val="center"/>
          </w:tcPr>
          <w:p w14:paraId="014814B5">
            <w:pPr>
              <w:rPr>
                <w:rFonts w:hint="eastAsia"/>
                <w:color w:val="auto"/>
                <w:sz w:val="24"/>
                <w:highlight w:val="none"/>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highlight w:val="none"/>
              </w:rPr>
            </w:pPr>
          </w:p>
        </w:tc>
        <w:tc>
          <w:tcPr>
            <w:tcW w:w="947" w:type="dxa"/>
            <w:noWrap w:val="0"/>
            <w:vAlign w:val="center"/>
          </w:tcPr>
          <w:p w14:paraId="679B19FC">
            <w:pPr>
              <w:rPr>
                <w:rFonts w:hint="eastAsia"/>
                <w:color w:val="auto"/>
                <w:sz w:val="24"/>
                <w:highlight w:val="none"/>
              </w:rPr>
            </w:pPr>
          </w:p>
        </w:tc>
        <w:tc>
          <w:tcPr>
            <w:tcW w:w="947" w:type="dxa"/>
            <w:noWrap w:val="0"/>
            <w:vAlign w:val="center"/>
          </w:tcPr>
          <w:p w14:paraId="5CEB10FB">
            <w:pPr>
              <w:rPr>
                <w:rFonts w:hint="eastAsia"/>
                <w:color w:val="auto"/>
                <w:sz w:val="24"/>
                <w:highlight w:val="none"/>
              </w:rPr>
            </w:pPr>
          </w:p>
        </w:tc>
        <w:tc>
          <w:tcPr>
            <w:tcW w:w="947" w:type="dxa"/>
            <w:noWrap w:val="0"/>
            <w:vAlign w:val="center"/>
          </w:tcPr>
          <w:p w14:paraId="531928C8">
            <w:pPr>
              <w:rPr>
                <w:rFonts w:hint="eastAsia"/>
                <w:color w:val="auto"/>
                <w:sz w:val="24"/>
                <w:highlight w:val="none"/>
              </w:rPr>
            </w:pPr>
          </w:p>
        </w:tc>
        <w:tc>
          <w:tcPr>
            <w:tcW w:w="947" w:type="dxa"/>
            <w:noWrap w:val="0"/>
            <w:vAlign w:val="center"/>
          </w:tcPr>
          <w:p w14:paraId="51171AF0">
            <w:pPr>
              <w:rPr>
                <w:rFonts w:hint="eastAsia"/>
                <w:color w:val="auto"/>
                <w:sz w:val="24"/>
                <w:highlight w:val="none"/>
              </w:rPr>
            </w:pPr>
          </w:p>
        </w:tc>
        <w:tc>
          <w:tcPr>
            <w:tcW w:w="947" w:type="dxa"/>
            <w:noWrap w:val="0"/>
            <w:vAlign w:val="center"/>
          </w:tcPr>
          <w:p w14:paraId="02EAAA59">
            <w:pPr>
              <w:rPr>
                <w:rFonts w:hint="eastAsia"/>
                <w:color w:val="auto"/>
                <w:sz w:val="24"/>
                <w:highlight w:val="none"/>
              </w:rPr>
            </w:pPr>
          </w:p>
        </w:tc>
        <w:tc>
          <w:tcPr>
            <w:tcW w:w="947" w:type="dxa"/>
            <w:noWrap w:val="0"/>
            <w:vAlign w:val="center"/>
          </w:tcPr>
          <w:p w14:paraId="7F7A5A0A">
            <w:pPr>
              <w:rPr>
                <w:rFonts w:hint="eastAsia"/>
                <w:color w:val="auto"/>
                <w:sz w:val="24"/>
                <w:highlight w:val="none"/>
              </w:rPr>
            </w:pPr>
          </w:p>
        </w:tc>
        <w:tc>
          <w:tcPr>
            <w:tcW w:w="947" w:type="dxa"/>
            <w:noWrap w:val="0"/>
            <w:vAlign w:val="center"/>
          </w:tcPr>
          <w:p w14:paraId="7E2F4576">
            <w:pPr>
              <w:rPr>
                <w:rFonts w:hint="eastAsia"/>
                <w:color w:val="auto"/>
                <w:sz w:val="24"/>
                <w:highlight w:val="none"/>
              </w:rPr>
            </w:pPr>
          </w:p>
        </w:tc>
        <w:tc>
          <w:tcPr>
            <w:tcW w:w="947" w:type="dxa"/>
            <w:noWrap w:val="0"/>
            <w:vAlign w:val="center"/>
          </w:tcPr>
          <w:p w14:paraId="6FC423A8">
            <w:pPr>
              <w:rPr>
                <w:rFonts w:hint="eastAsia"/>
                <w:color w:val="auto"/>
                <w:sz w:val="24"/>
                <w:highlight w:val="none"/>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1C2615E">
            <w:pPr>
              <w:rPr>
                <w:rFonts w:hint="eastAsia"/>
                <w:color w:val="auto"/>
                <w:sz w:val="24"/>
                <w:highlight w:val="none"/>
              </w:rPr>
            </w:pPr>
          </w:p>
        </w:tc>
        <w:tc>
          <w:tcPr>
            <w:tcW w:w="947" w:type="dxa"/>
            <w:noWrap w:val="0"/>
            <w:vAlign w:val="center"/>
          </w:tcPr>
          <w:p w14:paraId="3B1AAC3D">
            <w:pPr>
              <w:rPr>
                <w:rFonts w:hint="eastAsia"/>
                <w:color w:val="auto"/>
                <w:sz w:val="24"/>
                <w:highlight w:val="none"/>
              </w:rPr>
            </w:pPr>
          </w:p>
        </w:tc>
        <w:tc>
          <w:tcPr>
            <w:tcW w:w="947" w:type="dxa"/>
            <w:noWrap w:val="0"/>
            <w:vAlign w:val="center"/>
          </w:tcPr>
          <w:p w14:paraId="2058EA79">
            <w:pPr>
              <w:rPr>
                <w:rFonts w:hint="eastAsia"/>
                <w:color w:val="auto"/>
                <w:sz w:val="24"/>
                <w:highlight w:val="none"/>
              </w:rPr>
            </w:pPr>
          </w:p>
        </w:tc>
        <w:tc>
          <w:tcPr>
            <w:tcW w:w="947" w:type="dxa"/>
            <w:noWrap w:val="0"/>
            <w:vAlign w:val="center"/>
          </w:tcPr>
          <w:p w14:paraId="17668337">
            <w:pPr>
              <w:rPr>
                <w:rFonts w:hint="eastAsia"/>
                <w:color w:val="auto"/>
                <w:sz w:val="24"/>
                <w:highlight w:val="none"/>
              </w:rPr>
            </w:pPr>
          </w:p>
        </w:tc>
        <w:tc>
          <w:tcPr>
            <w:tcW w:w="947" w:type="dxa"/>
            <w:noWrap w:val="0"/>
            <w:vAlign w:val="center"/>
          </w:tcPr>
          <w:p w14:paraId="33A77915">
            <w:pPr>
              <w:rPr>
                <w:rFonts w:hint="eastAsia"/>
                <w:color w:val="auto"/>
                <w:sz w:val="24"/>
                <w:highlight w:val="none"/>
              </w:rPr>
            </w:pPr>
          </w:p>
        </w:tc>
        <w:tc>
          <w:tcPr>
            <w:tcW w:w="947" w:type="dxa"/>
            <w:noWrap w:val="0"/>
            <w:vAlign w:val="center"/>
          </w:tcPr>
          <w:p w14:paraId="43F2F99C">
            <w:pPr>
              <w:rPr>
                <w:rFonts w:hint="eastAsia"/>
                <w:color w:val="auto"/>
                <w:sz w:val="24"/>
                <w:highlight w:val="none"/>
              </w:rPr>
            </w:pPr>
          </w:p>
        </w:tc>
        <w:tc>
          <w:tcPr>
            <w:tcW w:w="947" w:type="dxa"/>
            <w:noWrap w:val="0"/>
            <w:vAlign w:val="center"/>
          </w:tcPr>
          <w:p w14:paraId="05DCAE0F">
            <w:pPr>
              <w:rPr>
                <w:rFonts w:hint="eastAsia"/>
                <w:color w:val="auto"/>
                <w:sz w:val="24"/>
                <w:highlight w:val="none"/>
              </w:rPr>
            </w:pPr>
          </w:p>
        </w:tc>
        <w:tc>
          <w:tcPr>
            <w:tcW w:w="947" w:type="dxa"/>
            <w:noWrap w:val="0"/>
            <w:vAlign w:val="center"/>
          </w:tcPr>
          <w:p w14:paraId="1D04C91A">
            <w:pPr>
              <w:rPr>
                <w:rFonts w:hint="eastAsia"/>
                <w:color w:val="auto"/>
                <w:sz w:val="24"/>
                <w:highlight w:val="none"/>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highlight w:val="none"/>
              </w:rPr>
            </w:pPr>
          </w:p>
        </w:tc>
        <w:tc>
          <w:tcPr>
            <w:tcW w:w="947" w:type="dxa"/>
            <w:noWrap w:val="0"/>
            <w:vAlign w:val="center"/>
          </w:tcPr>
          <w:p w14:paraId="62C1FDA2">
            <w:pPr>
              <w:rPr>
                <w:rFonts w:hint="eastAsia"/>
                <w:color w:val="auto"/>
                <w:sz w:val="24"/>
                <w:highlight w:val="none"/>
              </w:rPr>
            </w:pPr>
          </w:p>
        </w:tc>
        <w:tc>
          <w:tcPr>
            <w:tcW w:w="947" w:type="dxa"/>
            <w:noWrap w:val="0"/>
            <w:vAlign w:val="center"/>
          </w:tcPr>
          <w:p w14:paraId="779E9690">
            <w:pPr>
              <w:rPr>
                <w:rFonts w:hint="eastAsia"/>
                <w:color w:val="auto"/>
                <w:sz w:val="24"/>
                <w:highlight w:val="none"/>
              </w:rPr>
            </w:pPr>
          </w:p>
        </w:tc>
        <w:tc>
          <w:tcPr>
            <w:tcW w:w="947" w:type="dxa"/>
            <w:noWrap w:val="0"/>
            <w:vAlign w:val="center"/>
          </w:tcPr>
          <w:p w14:paraId="16E79732">
            <w:pPr>
              <w:rPr>
                <w:rFonts w:hint="eastAsia"/>
                <w:color w:val="auto"/>
                <w:sz w:val="24"/>
                <w:highlight w:val="none"/>
              </w:rPr>
            </w:pPr>
          </w:p>
        </w:tc>
        <w:tc>
          <w:tcPr>
            <w:tcW w:w="947" w:type="dxa"/>
            <w:noWrap w:val="0"/>
            <w:vAlign w:val="center"/>
          </w:tcPr>
          <w:p w14:paraId="3DCCF347">
            <w:pPr>
              <w:rPr>
                <w:rFonts w:hint="eastAsia"/>
                <w:color w:val="auto"/>
                <w:sz w:val="24"/>
                <w:highlight w:val="none"/>
              </w:rPr>
            </w:pPr>
          </w:p>
        </w:tc>
        <w:tc>
          <w:tcPr>
            <w:tcW w:w="947" w:type="dxa"/>
            <w:noWrap w:val="0"/>
            <w:vAlign w:val="center"/>
          </w:tcPr>
          <w:p w14:paraId="62D7DC41">
            <w:pPr>
              <w:rPr>
                <w:rFonts w:hint="eastAsia"/>
                <w:color w:val="auto"/>
                <w:sz w:val="24"/>
                <w:highlight w:val="none"/>
              </w:rPr>
            </w:pPr>
          </w:p>
        </w:tc>
        <w:tc>
          <w:tcPr>
            <w:tcW w:w="947" w:type="dxa"/>
            <w:noWrap w:val="0"/>
            <w:vAlign w:val="center"/>
          </w:tcPr>
          <w:p w14:paraId="44D76AD0">
            <w:pPr>
              <w:rPr>
                <w:rFonts w:hint="eastAsia"/>
                <w:color w:val="auto"/>
                <w:sz w:val="24"/>
                <w:highlight w:val="none"/>
              </w:rPr>
            </w:pPr>
          </w:p>
        </w:tc>
        <w:tc>
          <w:tcPr>
            <w:tcW w:w="947" w:type="dxa"/>
            <w:noWrap w:val="0"/>
            <w:vAlign w:val="center"/>
          </w:tcPr>
          <w:p w14:paraId="1FD27E5F">
            <w:pPr>
              <w:rPr>
                <w:rFonts w:hint="eastAsia"/>
                <w:color w:val="auto"/>
                <w:sz w:val="24"/>
                <w:highlight w:val="none"/>
              </w:rPr>
            </w:pPr>
          </w:p>
        </w:tc>
        <w:tc>
          <w:tcPr>
            <w:tcW w:w="947" w:type="dxa"/>
            <w:noWrap w:val="0"/>
            <w:vAlign w:val="center"/>
          </w:tcPr>
          <w:p w14:paraId="6532A19D">
            <w:pPr>
              <w:rPr>
                <w:rFonts w:hint="eastAsia"/>
                <w:color w:val="auto"/>
                <w:sz w:val="24"/>
                <w:highlight w:val="none"/>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highlight w:val="none"/>
              </w:rPr>
            </w:pPr>
          </w:p>
        </w:tc>
        <w:tc>
          <w:tcPr>
            <w:tcW w:w="947" w:type="dxa"/>
            <w:noWrap w:val="0"/>
            <w:vAlign w:val="center"/>
          </w:tcPr>
          <w:p w14:paraId="4B5F2819">
            <w:pPr>
              <w:rPr>
                <w:rFonts w:hint="eastAsia"/>
                <w:color w:val="auto"/>
                <w:sz w:val="24"/>
                <w:highlight w:val="none"/>
              </w:rPr>
            </w:pPr>
          </w:p>
        </w:tc>
        <w:tc>
          <w:tcPr>
            <w:tcW w:w="947" w:type="dxa"/>
            <w:noWrap w:val="0"/>
            <w:vAlign w:val="center"/>
          </w:tcPr>
          <w:p w14:paraId="00084C77">
            <w:pPr>
              <w:rPr>
                <w:rFonts w:hint="eastAsia"/>
                <w:color w:val="auto"/>
                <w:sz w:val="24"/>
                <w:highlight w:val="none"/>
              </w:rPr>
            </w:pPr>
          </w:p>
        </w:tc>
        <w:tc>
          <w:tcPr>
            <w:tcW w:w="947" w:type="dxa"/>
            <w:noWrap w:val="0"/>
            <w:vAlign w:val="center"/>
          </w:tcPr>
          <w:p w14:paraId="3126634E">
            <w:pPr>
              <w:rPr>
                <w:rFonts w:hint="eastAsia"/>
                <w:color w:val="auto"/>
                <w:sz w:val="24"/>
                <w:highlight w:val="none"/>
              </w:rPr>
            </w:pPr>
          </w:p>
        </w:tc>
        <w:tc>
          <w:tcPr>
            <w:tcW w:w="947" w:type="dxa"/>
            <w:noWrap w:val="0"/>
            <w:vAlign w:val="center"/>
          </w:tcPr>
          <w:p w14:paraId="049C72EE">
            <w:pPr>
              <w:rPr>
                <w:rFonts w:hint="eastAsia"/>
                <w:color w:val="auto"/>
                <w:sz w:val="24"/>
                <w:highlight w:val="none"/>
              </w:rPr>
            </w:pPr>
          </w:p>
        </w:tc>
        <w:tc>
          <w:tcPr>
            <w:tcW w:w="947" w:type="dxa"/>
            <w:noWrap w:val="0"/>
            <w:vAlign w:val="center"/>
          </w:tcPr>
          <w:p w14:paraId="53EE16C2">
            <w:pPr>
              <w:rPr>
                <w:rFonts w:hint="eastAsia"/>
                <w:color w:val="auto"/>
                <w:sz w:val="24"/>
                <w:highlight w:val="none"/>
              </w:rPr>
            </w:pPr>
          </w:p>
        </w:tc>
        <w:tc>
          <w:tcPr>
            <w:tcW w:w="947" w:type="dxa"/>
            <w:noWrap w:val="0"/>
            <w:vAlign w:val="center"/>
          </w:tcPr>
          <w:p w14:paraId="628AE0E3">
            <w:pPr>
              <w:rPr>
                <w:rFonts w:hint="eastAsia"/>
                <w:color w:val="auto"/>
                <w:sz w:val="24"/>
                <w:highlight w:val="none"/>
              </w:rPr>
            </w:pPr>
          </w:p>
        </w:tc>
        <w:tc>
          <w:tcPr>
            <w:tcW w:w="947" w:type="dxa"/>
            <w:noWrap w:val="0"/>
            <w:vAlign w:val="center"/>
          </w:tcPr>
          <w:p w14:paraId="199DF432">
            <w:pPr>
              <w:rPr>
                <w:rFonts w:hint="eastAsia"/>
                <w:color w:val="auto"/>
                <w:sz w:val="24"/>
                <w:highlight w:val="none"/>
              </w:rPr>
            </w:pPr>
          </w:p>
        </w:tc>
        <w:tc>
          <w:tcPr>
            <w:tcW w:w="947" w:type="dxa"/>
            <w:noWrap w:val="0"/>
            <w:vAlign w:val="center"/>
          </w:tcPr>
          <w:p w14:paraId="612AD904">
            <w:pPr>
              <w:rPr>
                <w:rFonts w:hint="eastAsia"/>
                <w:color w:val="auto"/>
                <w:sz w:val="24"/>
                <w:highlight w:val="none"/>
              </w:rPr>
            </w:pPr>
          </w:p>
        </w:tc>
      </w:tr>
    </w:tbl>
    <w:p w14:paraId="6A852166">
      <w:pPr>
        <w:rPr>
          <w:rFonts w:hint="eastAsia" w:ascii="宋体" w:hAnsi="宋体"/>
          <w:color w:val="auto"/>
          <w:sz w:val="24"/>
          <w:highlight w:val="none"/>
        </w:rPr>
      </w:pPr>
    </w:p>
    <w:p w14:paraId="5D0214AA">
      <w:pPr>
        <w:pStyle w:val="2"/>
        <w:rPr>
          <w:rFonts w:hint="eastAsia"/>
          <w:color w:val="auto"/>
          <w:highlight w:val="none"/>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1.申请人拟派往本项目的主要业务人员应为申请人本单位人员。</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eastAsia="zh-CN"/>
        </w:rPr>
        <w:t>有资格证书的</w:t>
      </w:r>
      <w:r>
        <w:rPr>
          <w:rFonts w:hint="eastAsia" w:ascii="宋体" w:hAnsi="宋体" w:eastAsia="宋体" w:cs="Times New Roman"/>
          <w:color w:val="auto"/>
          <w:sz w:val="24"/>
          <w:highlight w:val="none"/>
        </w:rPr>
        <w:t>需提供相关证书复印件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注册证书复印件</w:t>
      </w:r>
      <w:r>
        <w:rPr>
          <w:rFonts w:hint="eastAsia" w:ascii="宋体" w:hAnsi="宋体" w:eastAsia="宋体" w:cs="Times New Roman"/>
          <w:color w:val="auto"/>
          <w:sz w:val="24"/>
          <w:highlight w:val="none"/>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.以上人员证明材料如不实，属于弄虚作假，取消中选资格。</w:t>
      </w:r>
    </w:p>
    <w:p w14:paraId="3147C77B">
      <w:pPr>
        <w:pStyle w:val="26"/>
        <w:ind w:firstLine="420"/>
        <w:rPr>
          <w:rFonts w:hint="eastAsia"/>
          <w:color w:val="auto"/>
          <w:highlight w:val="none"/>
        </w:rPr>
      </w:pPr>
    </w:p>
    <w:p w14:paraId="6BA67DC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84461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93C86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EFA0DCC">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24" w:name="_Toc29504"/>
      <w:bookmarkStart w:id="125" w:name="_Toc6913"/>
      <w:bookmarkStart w:id="126" w:name="_Toc91771172"/>
      <w:r>
        <w:rPr>
          <w:rFonts w:hint="eastAsia" w:ascii="宋体" w:hAnsi="宋体"/>
          <w:b/>
          <w:bCs/>
          <w:color w:val="auto"/>
          <w:sz w:val="32"/>
          <w:szCs w:val="32"/>
          <w:highlight w:val="none"/>
          <w:lang w:val="en-US" w:eastAsia="zh-CN"/>
        </w:rPr>
        <w:t>九</w:t>
      </w:r>
      <w:r>
        <w:rPr>
          <w:rFonts w:hint="eastAsia" w:ascii="黑体" w:hAnsi="黑体" w:eastAsia="黑体" w:cs="Arial"/>
          <w:bCs/>
          <w:color w:val="auto"/>
          <w:sz w:val="32"/>
          <w:szCs w:val="32"/>
          <w:highlight w:val="none"/>
        </w:rPr>
        <w:t>、商务、技术、服务要求应答表</w:t>
      </w:r>
      <w:bookmarkEnd w:id="124"/>
      <w:bookmarkEnd w:id="125"/>
      <w:bookmarkEnd w:id="126"/>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48" w:type="dxa"/>
            <w:noWrap w:val="0"/>
            <w:vAlign w:val="center"/>
          </w:tcPr>
          <w:p w14:paraId="699C845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C2A9B60">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3BFB7C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AA0A9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技术、服务要求：</w:t>
            </w:r>
          </w:p>
          <w:p w14:paraId="53FDC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（一）交货地点：江阳区范围内采购人指定地点。</w:t>
            </w:r>
          </w:p>
          <w:p w14:paraId="64C13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（二）供应商提供的产品应为最新生产的全新的原装正品，且权属清楚，不得侵害他人的知识产权。各项指标符合国家检测标准和出厂标准。</w:t>
            </w:r>
          </w:p>
          <w:p w14:paraId="731ED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（三）供应商供货时应提供产品完整的相关证书、证件、资料、税票等，进口设备提供原装进口设备的相关凭证（如有），否则视为验收不合格并终止双方合同。</w:t>
            </w:r>
          </w:p>
          <w:p w14:paraId="62A3F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（四）供应商所交产品不符合规定或质量不合格的，由供应商负责在合同约定的交货时间内包换，并承担换货而支付的一切费用。供应商不能调换的，按不能交货处理。</w:t>
            </w:r>
          </w:p>
          <w:p w14:paraId="49905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五）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20D14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Times New Roman"/>
                <w:color w:val="auto"/>
                <w:sz w:val="24"/>
                <w:highlight w:val="none"/>
                <w:lang w:val="en-US" w:eastAsia="zh-CN"/>
              </w:rPr>
              <w:t>（六）验收：由采购人组织人员进行验收，验收标准按国家有关规定质量要求，并对照供应商响应的技术参数进行验收。</w:t>
            </w:r>
          </w:p>
          <w:p w14:paraId="329C2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cs="Times New Roman"/>
                <w:color w:val="auto"/>
                <w:sz w:val="24"/>
                <w:highlight w:val="none"/>
                <w:lang w:val="en-US" w:eastAsia="zh-CN"/>
              </w:rPr>
              <w:t>（七）供应商提供设备应满足国家和行业相关质量规范、标准和满足新国标要求。参数因等于或优于下表要求，否则投标无效。</w:t>
            </w:r>
          </w:p>
        </w:tc>
        <w:tc>
          <w:tcPr>
            <w:tcW w:w="3398" w:type="dxa"/>
            <w:noWrap w:val="0"/>
            <w:vAlign w:val="center"/>
          </w:tcPr>
          <w:p w14:paraId="64180938">
            <w:pPr>
              <w:jc w:val="center"/>
              <w:rPr>
                <w:rFonts w:hint="eastAsia" w:ascii="宋体" w:hAnsi="宋体"/>
                <w:color w:val="auto"/>
                <w:sz w:val="24"/>
                <w:highlight w:val="none"/>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56FF0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商务要求：</w:t>
            </w:r>
          </w:p>
          <w:p w14:paraId="6D365B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（一）供货期限为签订合同后10日内完成</w:t>
            </w:r>
            <w:r>
              <w:rPr>
                <w:rFonts w:hint="eastAsia" w:cs="Times New Roman"/>
                <w:color w:val="auto"/>
                <w:kern w:val="2"/>
                <w:sz w:val="24"/>
                <w:szCs w:val="24"/>
                <w:highlight w:val="none"/>
                <w:lang w:val="en-US" w:eastAsia="zh-CN" w:bidi="ar-SA"/>
              </w:rPr>
              <w:t>。</w:t>
            </w:r>
          </w:p>
          <w:p w14:paraId="68742F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（二）付款方式：采购人完成验收后，供应商按要求提供增值税普通发票，采购人在15个工作日内一次性全额支付合同价款。</w:t>
            </w:r>
          </w:p>
        </w:tc>
        <w:tc>
          <w:tcPr>
            <w:tcW w:w="3398" w:type="dxa"/>
            <w:noWrap w:val="0"/>
            <w:vAlign w:val="center"/>
          </w:tcPr>
          <w:p w14:paraId="7A4AE60F">
            <w:pPr>
              <w:jc w:val="center"/>
              <w:rPr>
                <w:rFonts w:hint="eastAsia" w:ascii="宋体" w:hAnsi="宋体"/>
                <w:color w:val="auto"/>
                <w:sz w:val="24"/>
                <w:highlight w:val="none"/>
              </w:rPr>
            </w:pPr>
          </w:p>
        </w:tc>
      </w:tr>
    </w:tbl>
    <w:p w14:paraId="5EC97A2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询比</w:t>
      </w:r>
      <w:r>
        <w:rPr>
          <w:rFonts w:hint="eastAsia"/>
          <w:color w:val="auto"/>
          <w:sz w:val="24"/>
          <w:highlight w:val="none"/>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highlight w:val="none"/>
        </w:rPr>
      </w:pPr>
    </w:p>
    <w:p w14:paraId="0654B4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F680D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C32021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006D4EB">
      <w:pPr>
        <w:spacing w:line="360" w:lineRule="atLeast"/>
        <w:jc w:val="center"/>
        <w:outlineLvl w:val="1"/>
        <w:rPr>
          <w:rFonts w:hint="eastAsia" w:ascii="宋体"/>
          <w:b/>
          <w:sz w:val="24"/>
        </w:rPr>
      </w:pPr>
      <w:bookmarkStart w:id="127" w:name="_Toc797"/>
      <w:r>
        <w:rPr>
          <w:b/>
          <w:color w:val="auto"/>
          <w:sz w:val="32"/>
          <w:szCs w:val="32"/>
          <w:highlight w:val="none"/>
        </w:rPr>
        <w:br w:type="page"/>
      </w:r>
      <w:bookmarkStart w:id="128" w:name="_Toc22520"/>
      <w:bookmarkStart w:id="129" w:name="_Toc22127"/>
      <w:bookmarkStart w:id="130" w:name="_Toc15041"/>
      <w:bookmarkStart w:id="131" w:name="_Toc91771174"/>
      <w:bookmarkStart w:id="132" w:name="_Toc3650"/>
      <w:r>
        <w:rPr>
          <w:rFonts w:hint="eastAsia" w:ascii="黑体" w:eastAsia="黑体"/>
          <w:b/>
          <w:sz w:val="32"/>
          <w:szCs w:val="32"/>
          <w:lang w:val="en-US" w:eastAsia="zh-CN"/>
        </w:rPr>
        <w:t>十</w:t>
      </w:r>
      <w:r>
        <w:rPr>
          <w:rFonts w:hint="eastAsia" w:ascii="黑体" w:eastAsia="黑体"/>
          <w:b/>
          <w:sz w:val="32"/>
          <w:szCs w:val="32"/>
        </w:rPr>
        <w:t>、供应商产品技术参数表</w:t>
      </w:r>
      <w:bookmarkEnd w:id="128"/>
    </w:p>
    <w:tbl>
      <w:tblPr>
        <w:tblStyle w:val="18"/>
        <w:tblpPr w:leftFromText="180" w:rightFromText="180" w:vertAnchor="text" w:horzAnchor="page" w:tblpX="1179" w:tblpY="354"/>
        <w:tblOverlap w:val="never"/>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056"/>
        <w:gridCol w:w="5895"/>
        <w:gridCol w:w="2355"/>
      </w:tblGrid>
      <w:tr w14:paraId="245C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90" w:type="dxa"/>
            <w:noWrap w:val="0"/>
            <w:vAlign w:val="center"/>
          </w:tcPr>
          <w:p w14:paraId="3CA292E2">
            <w:pPr>
              <w:spacing w:line="360" w:lineRule="atLeast"/>
              <w:jc w:val="left"/>
              <w:rPr>
                <w:rFonts w:hint="eastAsia" w:ascii="宋体"/>
                <w:sz w:val="24"/>
              </w:rPr>
            </w:pPr>
            <w:r>
              <w:rPr>
                <w:rFonts w:hint="eastAsia" w:ascii="宋体"/>
                <w:sz w:val="24"/>
              </w:rPr>
              <w:t>序号</w:t>
            </w:r>
          </w:p>
        </w:tc>
        <w:tc>
          <w:tcPr>
            <w:tcW w:w="1056" w:type="dxa"/>
            <w:noWrap w:val="0"/>
            <w:vAlign w:val="center"/>
          </w:tcPr>
          <w:p w14:paraId="548BC4CC">
            <w:pPr>
              <w:spacing w:line="360" w:lineRule="atLeast"/>
              <w:jc w:val="left"/>
              <w:rPr>
                <w:rFonts w:hint="eastAsia" w:ascii="宋体"/>
                <w:sz w:val="24"/>
              </w:rPr>
            </w:pPr>
            <w:r>
              <w:rPr>
                <w:rFonts w:hint="eastAsia" w:ascii="宋体"/>
                <w:sz w:val="24"/>
              </w:rPr>
              <w:t>货物（设备）名称</w:t>
            </w:r>
          </w:p>
        </w:tc>
        <w:tc>
          <w:tcPr>
            <w:tcW w:w="5895" w:type="dxa"/>
            <w:noWrap w:val="0"/>
            <w:vAlign w:val="center"/>
          </w:tcPr>
          <w:p w14:paraId="55B05DF1">
            <w:pPr>
              <w:spacing w:line="360" w:lineRule="atLeast"/>
              <w:jc w:val="center"/>
              <w:rPr>
                <w:rFonts w:hint="eastAsia" w:ascii="宋体"/>
                <w:sz w:val="24"/>
              </w:rPr>
            </w:pPr>
            <w:r>
              <w:rPr>
                <w:rFonts w:hint="eastAsia" w:ascii="宋体"/>
                <w:sz w:val="24"/>
              </w:rPr>
              <w:t>磋商文件要求</w:t>
            </w:r>
          </w:p>
        </w:tc>
        <w:tc>
          <w:tcPr>
            <w:tcW w:w="2355" w:type="dxa"/>
            <w:noWrap w:val="0"/>
            <w:vAlign w:val="center"/>
          </w:tcPr>
          <w:p w14:paraId="39F38BED">
            <w:pPr>
              <w:spacing w:line="360" w:lineRule="atLeast"/>
              <w:jc w:val="center"/>
              <w:rPr>
                <w:rFonts w:hint="eastAsia" w:ascii="宋体" w:eastAsia="宋体"/>
                <w:sz w:val="24"/>
                <w:lang w:eastAsia="zh-CN"/>
              </w:rPr>
            </w:pPr>
            <w:r>
              <w:rPr>
                <w:rFonts w:hint="eastAsia" w:ascii="宋体"/>
                <w:sz w:val="24"/>
              </w:rPr>
              <w:t>响应产品技术参数</w:t>
            </w:r>
            <w:r>
              <w:rPr>
                <w:rFonts w:hint="eastAsia" w:ascii="宋体"/>
                <w:sz w:val="24"/>
                <w:lang w:eastAsia="zh-CN"/>
              </w:rPr>
              <w:t>（</w:t>
            </w:r>
            <w:r>
              <w:rPr>
                <w:rFonts w:hint="eastAsia" w:ascii="宋体"/>
                <w:sz w:val="24"/>
                <w:lang w:val="en-US" w:eastAsia="zh-CN"/>
              </w:rPr>
              <w:t>有明确厂商或品牌的产品应注明</w:t>
            </w:r>
            <w:r>
              <w:rPr>
                <w:rFonts w:hint="eastAsia" w:ascii="宋体"/>
                <w:sz w:val="24"/>
                <w:lang w:eastAsia="zh-CN"/>
              </w:rPr>
              <w:t>）</w:t>
            </w:r>
          </w:p>
        </w:tc>
      </w:tr>
      <w:tr w14:paraId="55D8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 w:type="dxa"/>
            <w:noWrap w:val="0"/>
            <w:vAlign w:val="center"/>
          </w:tcPr>
          <w:p w14:paraId="773E4031">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56" w:type="dxa"/>
            <w:noWrap w:val="0"/>
            <w:vAlign w:val="center"/>
          </w:tcPr>
          <w:p w14:paraId="66EFFD0D">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高清摄像机</w:t>
            </w:r>
          </w:p>
        </w:tc>
        <w:tc>
          <w:tcPr>
            <w:tcW w:w="5895" w:type="dxa"/>
            <w:noWrap w:val="0"/>
            <w:vAlign w:val="center"/>
          </w:tcPr>
          <w:p w14:paraId="36B7EA2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1、采用不低于800万像素1/1.8英寸CMOS图像传感器，低照度效果好，图像清晰度高；</w:t>
            </w:r>
          </w:p>
          <w:p w14:paraId="3189728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2、采用AI ISP技术，支持周界防范（绊线入侵，区域入侵）、SMD Plus(人形/车形检测)；</w:t>
            </w:r>
          </w:p>
          <w:p w14:paraId="683D74F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防补光过曝功能，其支持人脸优先、车牌优先、关闭3种模式;开启人脸优先功能,设备检测到人员后可自动调节补光灯的亮度,人员离开后补光灯恢复;开启车牌优先功能,设备检测到车辆后可自动开启补光灯并调节亮度,车辆离开后补光灯关闭；</w:t>
            </w:r>
          </w:p>
          <w:p w14:paraId="149944F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4、设备采用4颗（暖光灯）补光，可见光：≥40米；</w:t>
            </w:r>
          </w:p>
          <w:p w14:paraId="68266EB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超感光功能自动调节，可自动调节画面中人脸、人体目标以及环境景物的亮度、色彩饱和度、对比度、锐度;画面信噪比不小于50dB,色彩饱和度不小于120%(提供国家认可的第三方检测机构出具有CMA标识的检测报告复印件并加盖投标人公章)；</w:t>
            </w:r>
          </w:p>
          <w:p w14:paraId="24FF938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支持畸变矫正功能(LDC),开启畸变矫正功能后,输出图像的几何失真、画面畸变应减小;开启畸变矫正功能,几何失真应小于等于9.2%。(提供国家认可的第三方检测机构出具有CMA标识的检测报告复印件并加盖投标人公章)；</w:t>
            </w:r>
          </w:p>
          <w:p w14:paraId="5101BA7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当以下的智能分析行为达到设定的阈值时,可通过客户端软件或IE浏览器给出报警提示;a)绊线入侵;b)区域入侵;设备支持行为分析触发后联动抓图、录像、目标跟踪、报警上传、发送邮件、辅助输出等多种报警触发方式;设备支持设置6组智能周界规则并进行独立布防,每组的布撤防时间可单独设置,目标在布防区域和布防时间段内出现会触发报警,并联动相关操作;可以对人、机动车、全部(人或机动车)进行检测:支持对智能行为分析目标方向规则进行设置,可设置方向为A-&amp;amp;gt;B、B-&amp;amp;gt;A、A&amp;amp;lt;-&amp;amp;gt;B3种规则;支持灵敏度设置0~10;当小动物、灯光、树叶、气球等非人或机动车目标经过检测区域时,不会触发报警;可对目标大小(像素值)范围进行设置,使设备只对预设大小(像素值)范围内的人员及机动车辆进行检测</w:t>
            </w:r>
          </w:p>
          <w:p w14:paraId="6D0158D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8、环境照度不高于0.5lx,设备开启补光灯,镜头上边缘出现遮挡物或环境雾霾粉尘等干扰物时,设备可自动减弱画面模糊现象；</w:t>
            </w:r>
          </w:p>
          <w:p w14:paraId="39EE431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9、在补光光源关闭的情况下:彩色:≤0.0002lx(AGC ON,RJ4S输出,应能分辨反射式视频矩阵测试卡中彩色色块)</w:t>
            </w:r>
          </w:p>
          <w:p w14:paraId="3D15B4F2">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黑白:≤0.0001lx(AGC ON,RJ45输出,能分辨反射式视频分辨率测试卡中圆形轮廓)；</w:t>
            </w:r>
          </w:p>
          <w:p w14:paraId="5ED7730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10、支持内置MIC；支持DC12V/POE两种供电方式；不低于IP67防护等级；</w:t>
            </w:r>
          </w:p>
        </w:tc>
        <w:tc>
          <w:tcPr>
            <w:tcW w:w="2355" w:type="dxa"/>
            <w:noWrap w:val="0"/>
            <w:vAlign w:val="top"/>
          </w:tcPr>
          <w:p w14:paraId="7D47921E">
            <w:pPr>
              <w:spacing w:line="360" w:lineRule="atLeast"/>
              <w:ind w:firstLine="470" w:firstLineChars="196"/>
              <w:jc w:val="left"/>
              <w:rPr>
                <w:rFonts w:hint="eastAsia" w:ascii="宋体"/>
                <w:sz w:val="24"/>
              </w:rPr>
            </w:pPr>
          </w:p>
        </w:tc>
      </w:tr>
      <w:tr w14:paraId="1C6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38B8DE5E">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56" w:type="dxa"/>
            <w:noWrap w:val="0"/>
            <w:vAlign w:val="center"/>
          </w:tcPr>
          <w:p w14:paraId="01308D31">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双光警戒变焦枪型网络摄像机</w:t>
            </w:r>
          </w:p>
        </w:tc>
        <w:tc>
          <w:tcPr>
            <w:tcW w:w="5895" w:type="dxa"/>
            <w:noWrap w:val="0"/>
            <w:vAlign w:val="center"/>
          </w:tcPr>
          <w:p w14:paraId="575EC80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1、采用不低于800万像素1/2.7英寸CMOS图像传感器；</w:t>
            </w:r>
          </w:p>
          <w:p w14:paraId="17422D9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2、最大可输出400万(2688×1520)@25fps；</w:t>
            </w:r>
          </w:p>
          <w:p w14:paraId="700ACF5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3、内置高效暖光和红外补光灯，D2255红外监控距离不低于100米，暖光监控距离不低于50米；</w:t>
            </w:r>
          </w:p>
          <w:p w14:paraId="5392930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4、设备支持自动防闪烁功能,开启该功能后,可以消除闪烁条纹。(提供国家认可的第三方检测机构出具有CMA标识的检测报告复印件并加盖投标人公章)；</w:t>
            </w:r>
          </w:p>
          <w:p w14:paraId="277A007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5、支持人脸检测：支持跟踪，支持优选，支持抓拍，支持上报最优的人脸抓图，支持人脸增强，人脸曝光，支持人脸属性提取，支持6种属性，8种表情；</w:t>
            </w:r>
          </w:p>
          <w:p w14:paraId="13DCDA7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6、设备角落亮度均匀性（corners）≥85%，四边亮度均匀性（sides）≥90%。(提供国家认可的第三方检测机构出具有CMA标识的检测报告复印件并加盖投标人公章)；</w:t>
            </w:r>
          </w:p>
          <w:p w14:paraId="76C74DE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7、支持绊线入侵，区域入侵，快速移动，物品遗留，物品搬移，徘徊检测，人员聚集，停车检测；</w:t>
            </w:r>
          </w:p>
          <w:p w14:paraId="48B3292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8、支持声光报警联动，当报警产生时，可触发联动声音警报和灯光闪烁；</w:t>
            </w:r>
          </w:p>
          <w:p w14:paraId="79BAB52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9、支持在web界面中设置车牌指定位号匹配规则,当检测到的号牌匹配该规则时,联动报警事件。(提供国家认可的第三方检测机构出具有CMA标识的检测报告复印件并加盖投标人公章)；</w:t>
            </w:r>
          </w:p>
          <w:p w14:paraId="283C4B8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10、设备具有精准搜索功能，开启后可检测分析画面中人体各类特征后形成结构化数据上传后端；</w:t>
            </w:r>
          </w:p>
          <w:p w14:paraId="66EBBB9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11、设备支持一键诊断网络工况、运行工况;支持网络抓包、运行日志导出；</w:t>
            </w:r>
          </w:p>
          <w:p w14:paraId="419E0EE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12、设备具有≥报警2进2出，≥音频1进1出，支持不小于512GMicroSD卡，内置麦克和扬声器；</w:t>
            </w:r>
          </w:p>
          <w:p w14:paraId="2736AE2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13、支持DC12V/POE两种供电方式；</w:t>
            </w:r>
          </w:p>
          <w:p w14:paraId="18182599">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14、不低于IP67防护等级；</w:t>
            </w:r>
          </w:p>
        </w:tc>
        <w:tc>
          <w:tcPr>
            <w:tcW w:w="2355" w:type="dxa"/>
            <w:noWrap w:val="0"/>
            <w:vAlign w:val="top"/>
          </w:tcPr>
          <w:p w14:paraId="245E2162">
            <w:pPr>
              <w:spacing w:line="360" w:lineRule="atLeast"/>
              <w:ind w:firstLine="470" w:firstLineChars="196"/>
              <w:jc w:val="left"/>
              <w:rPr>
                <w:rFonts w:hint="eastAsia" w:ascii="宋体"/>
                <w:sz w:val="24"/>
              </w:rPr>
            </w:pPr>
          </w:p>
        </w:tc>
      </w:tr>
      <w:tr w14:paraId="74A6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4B5676FB">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056" w:type="dxa"/>
            <w:noWrap w:val="0"/>
            <w:vAlign w:val="center"/>
          </w:tcPr>
          <w:p w14:paraId="4643A66C">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网络存储</w:t>
            </w:r>
          </w:p>
        </w:tc>
        <w:tc>
          <w:tcPr>
            <w:tcW w:w="5895" w:type="dxa"/>
            <w:noWrap w:val="0"/>
            <w:vAlign w:val="center"/>
          </w:tcPr>
          <w:p w14:paraId="1279A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采用≥64位多核高性能处理器，1+1冗余电源，≥48盘位，支持≥24TB硬盘，支持硬盘热插拔；</w:t>
            </w:r>
          </w:p>
          <w:p w14:paraId="4F339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≥4个千兆数据网口，≥1个百兆管理网口，支持扩展≥2个千兆数据网口；≥1个HDMI，≥4个USB，≥1个eSATA，≥1个RS232；支持RAID0/1/5/6/10/50/60，SRAID，支持全局热备和局部热备盘；</w:t>
            </w:r>
          </w:p>
          <w:p w14:paraId="2422A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支持≥450路H.264/H.265混合接入，网络带宽≥1024Mbps接入，≥1024Mbps存储，≥1024Mbps转发；</w:t>
            </w:r>
          </w:p>
          <w:p w14:paraId="4A470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可通过ONVIF、RTSP、视图库、主动注册等协议管理不同厂家前端摄像头，实现视频存储；支持通过IPSAN、NAS（Samba、FTP、NFS）、视频直存模式访问存储资源；支持iSCSI客户端模式，访问第三方存储资源，增加存储空间，延长存储周期；支持硬盘健康状态监测，定期巡检，针对异常硬盘风险预警，支持系统盘、风扇、电源等异常告警；可结合硬盘状态、RAID配置、存储模式、网络状态、录像状态等信息，智能诊断用户配置合规性，保障整机可靠运行；可配合智能前端摄像头，实现结构化告警、周界告警、入户电梯告警等多种报警事件、图片透传平台；支持关键录像加锁，确保不被循环覆盖；支持N+M集群模式，可实现单台或多台设备故障时，故障设备业务自动迁移到其它健康设备上，保障业务不中断；可在客户端界面查看数据重构状态，设备的磁盘或节点离线并重新插回后，可在界面显示离线磁盘或节点的数据重构过程，离线前数据不丢失；可将录制的视频图像进行合并， 并支持延迟摄影视频的预览及下载， 支持按照自定义的时间间隔抽帧生成视频；</w:t>
            </w:r>
          </w:p>
          <w:p w14:paraId="1E056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支持硬盘错误灯提示功能，当系统检查到硬盘损坏、坏块太多、读写大量异常或者无法获取硬盘信息等问题，硬盘会被定义为错误盘，通过用户界面硬盘位标识为红色，硬件上硬盘灯也显示为红色长亮；(提供国家认可的第三方检测机构出具有CMA标识的检测报告复印件并加盖投标人公章)</w:t>
            </w:r>
          </w:p>
          <w:p w14:paraId="13366747">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6</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可通过浏览器进行视频浏览、回放和下载；并支持多画面同时段录像同时回放，或不同时段录像同时回放；网络下载录像速度不低于150MB/s；设备可接入双音轨，可同时或分别播放左右音轨</w:t>
            </w:r>
            <w:r>
              <w:rPr>
                <w:rFonts w:hint="eastAsia" w:ascii="宋体" w:hAnsi="宋体" w:cs="宋体"/>
                <w:i w:val="0"/>
                <w:iCs w:val="0"/>
                <w:color w:val="000000"/>
                <w:sz w:val="20"/>
                <w:szCs w:val="20"/>
                <w:u w:val="none"/>
                <w:lang w:eastAsia="zh-CN"/>
              </w:rPr>
              <w:t>；</w:t>
            </w:r>
          </w:p>
        </w:tc>
        <w:tc>
          <w:tcPr>
            <w:tcW w:w="2355" w:type="dxa"/>
            <w:noWrap w:val="0"/>
            <w:vAlign w:val="top"/>
          </w:tcPr>
          <w:p w14:paraId="2DC43D76">
            <w:pPr>
              <w:spacing w:line="360" w:lineRule="atLeast"/>
              <w:ind w:firstLine="470" w:firstLineChars="196"/>
              <w:jc w:val="left"/>
              <w:rPr>
                <w:rFonts w:hint="eastAsia" w:ascii="宋体"/>
                <w:sz w:val="24"/>
              </w:rPr>
            </w:pPr>
          </w:p>
        </w:tc>
      </w:tr>
      <w:tr w14:paraId="138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490" w:type="dxa"/>
            <w:noWrap w:val="0"/>
            <w:vAlign w:val="center"/>
          </w:tcPr>
          <w:p w14:paraId="49624647">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056" w:type="dxa"/>
            <w:noWrap w:val="0"/>
            <w:vAlign w:val="center"/>
          </w:tcPr>
          <w:p w14:paraId="3CAE2E71">
            <w:pPr>
              <w:keepNext w:val="0"/>
              <w:keepLines w:val="0"/>
              <w:widowControl/>
              <w:suppressLineNumbers w:val="0"/>
              <w:jc w:val="both"/>
              <w:textAlignment w:val="center"/>
              <w:rPr>
                <w:rFonts w:hint="eastAsia" w:ascii="宋体"/>
                <w:sz w:val="24"/>
              </w:rPr>
            </w:pPr>
            <w:r>
              <w:rPr>
                <w:rFonts w:hint="eastAsia" w:ascii="宋体" w:hAnsi="宋体" w:eastAsia="宋体" w:cs="宋体"/>
                <w:i w:val="0"/>
                <w:iCs w:val="0"/>
                <w:color w:val="000000"/>
                <w:sz w:val="20"/>
                <w:szCs w:val="20"/>
                <w:u w:val="none"/>
              </w:rPr>
              <w:t>硬盘</w:t>
            </w:r>
          </w:p>
        </w:tc>
        <w:tc>
          <w:tcPr>
            <w:tcW w:w="5895" w:type="dxa"/>
            <w:noWrap w:val="0"/>
            <w:vAlign w:val="center"/>
          </w:tcPr>
          <w:p w14:paraId="1F7DC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1、单盘容量不低于10TB；缓存≥256MB；</w:t>
            </w:r>
          </w:p>
          <w:p w14:paraId="1B47182F">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、转速不低于7200RPM；硬盘接口：SATA</w:t>
            </w:r>
            <w:r>
              <w:rPr>
                <w:rFonts w:hint="eastAsia" w:ascii="宋体" w:hAnsi="宋体" w:cs="宋体"/>
                <w:i w:val="0"/>
                <w:iCs w:val="0"/>
                <w:color w:val="000000"/>
                <w:sz w:val="20"/>
                <w:szCs w:val="20"/>
                <w:u w:val="none"/>
                <w:lang w:eastAsia="zh-CN"/>
              </w:rPr>
              <w:t>；</w:t>
            </w:r>
          </w:p>
        </w:tc>
        <w:tc>
          <w:tcPr>
            <w:tcW w:w="2355" w:type="dxa"/>
            <w:noWrap w:val="0"/>
            <w:vAlign w:val="top"/>
          </w:tcPr>
          <w:p w14:paraId="5BA8D46E">
            <w:pPr>
              <w:spacing w:line="360" w:lineRule="atLeast"/>
              <w:ind w:firstLine="470" w:firstLineChars="196"/>
              <w:jc w:val="left"/>
              <w:rPr>
                <w:rFonts w:hint="eastAsia" w:ascii="宋体"/>
                <w:sz w:val="24"/>
              </w:rPr>
            </w:pPr>
          </w:p>
        </w:tc>
      </w:tr>
      <w:tr w14:paraId="2ABB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7AFB7EC2">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56" w:type="dxa"/>
            <w:noWrap w:val="0"/>
            <w:vAlign w:val="center"/>
          </w:tcPr>
          <w:p w14:paraId="0DF0CECA">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监控平台服务器</w:t>
            </w:r>
          </w:p>
        </w:tc>
        <w:tc>
          <w:tcPr>
            <w:tcW w:w="5895" w:type="dxa"/>
            <w:noWrap w:val="0"/>
            <w:vAlign w:val="center"/>
          </w:tcPr>
          <w:p w14:paraId="79C5302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1、支持对菜单名称、图标、源菜单路径， 打开方式，业务描述进行管理，打开方式包含：内部页签打开，浏览器页签及新窗口打开；(提供国家认可的第三方检测机构出具有CMA标识的检测报告复印件并加盖投标人公章)；</w:t>
            </w:r>
          </w:p>
          <w:p w14:paraId="1683A56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2、支持与硬件指纹信息绑定的根密钥、工作密钥保护，可自动进行密钥、证书获取、管理与硬件指纹信息的复杂参数配置；</w:t>
            </w:r>
          </w:p>
          <w:p w14:paraId="285FD58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3、支持全数据加密存储，数据库文件只能在本机读取；</w:t>
            </w:r>
          </w:p>
          <w:p w14:paraId="5618FB3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综合管理平台支持安全数据库数据概览：支持展示安全运行时间、守护数据总数、守护数据内存、守护表总数；支持按周/按月图形化展示新增保护记录数统计情况；支持按周/按月图形化展示数据库加密解密计算次数统计情况。(提供国家认可的第三方检测机构出具有CMA标识的检测报告复印件并加盖投标人公章)；</w:t>
            </w:r>
          </w:p>
          <w:p w14:paraId="1AA8436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客户端全局水印配置功能，支持配置客户端水印的启用/停用、水印内容、水印方向、水印密度、水印透明度参数。水印内容支持使用姓名、证件号码后6位、人员编号后6位、用户名任意一个或者两个字段组合显示；(提供国家认可的第三方检测机构出具有CMA标识的检测报告复印件并加盖投标人公章)；</w:t>
            </w:r>
          </w:p>
          <w:p w14:paraId="0626FCB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6、支持对 UPS 市电断电/市电恢复报警事件进行管理，并配置报警预案及对应的事件联动动作，并在客户端、APP、管理端事件中心可以查询和处理；</w:t>
            </w:r>
          </w:p>
          <w:p w14:paraId="5AA741C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7、支持自定义修改设备通道类型、通道数量；</w:t>
            </w:r>
          </w:p>
          <w:p w14:paraId="3D656CD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8、支持设置设备和通道的能力，通道能力包括目标抓拍、主从跟踪、人脸抓拍、人员识别、人数统计、全景画面；</w:t>
            </w:r>
          </w:p>
          <w:p w14:paraId="66EAA69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9、支持根据当前系统具备的业务组件， 动态加载车辆信息的业务字段；</w:t>
            </w:r>
          </w:p>
          <w:p w14:paraId="26AA608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10、支持自动加载新增业务组件具备的车辆业务字段；</w:t>
            </w:r>
          </w:p>
          <w:p w14:paraId="70EDD9C4">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11、支持对添加/导入的人员头像进行人脸图片质量检测，可返回不合格的照片原因记录；</w:t>
            </w:r>
          </w:p>
        </w:tc>
        <w:tc>
          <w:tcPr>
            <w:tcW w:w="2355" w:type="dxa"/>
            <w:noWrap w:val="0"/>
            <w:vAlign w:val="top"/>
          </w:tcPr>
          <w:p w14:paraId="5ED3CFF2">
            <w:pPr>
              <w:spacing w:line="360" w:lineRule="atLeast"/>
              <w:ind w:firstLine="470" w:firstLineChars="196"/>
              <w:jc w:val="left"/>
              <w:rPr>
                <w:rFonts w:hint="eastAsia" w:ascii="宋体"/>
                <w:sz w:val="24"/>
              </w:rPr>
            </w:pPr>
          </w:p>
        </w:tc>
      </w:tr>
      <w:tr w14:paraId="234B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261C4F30">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056" w:type="dxa"/>
            <w:noWrap w:val="0"/>
            <w:vAlign w:val="center"/>
          </w:tcPr>
          <w:p w14:paraId="4B1CAF9E">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大模型大神算系列</w:t>
            </w:r>
          </w:p>
        </w:tc>
        <w:tc>
          <w:tcPr>
            <w:tcW w:w="5895" w:type="dxa"/>
            <w:noWrap w:val="0"/>
            <w:vAlign w:val="center"/>
          </w:tcPr>
          <w:p w14:paraId="0048162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1、≥8盘位，可满配≥16TB硬盘，支持RAID0/1/5/6/10/50/60，支持全局热备盘；</w:t>
            </w:r>
          </w:p>
          <w:p w14:paraId="5DBE9412">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2、≥1路VGA输出，≥4路HDMI输出，支持≥1个4K显示输出,≥4个10/100/1000Mbps自适应以太网口；</w:t>
            </w:r>
          </w:p>
          <w:p w14:paraId="3BD9052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3、支持≥128路H.264/H.265混合接入，网络带宽≥512Mbps接入；≥512Mbps存储；≥512Mbps转发；</w:t>
            </w:r>
          </w:p>
          <w:p w14:paraId="5D00331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4、支持≥28个1080P解码显示输出，支持Smart H.265;H.265;Smart H.264;H.264混合解码；</w:t>
            </w:r>
          </w:p>
          <w:p w14:paraId="4D402C8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选配≥8类算法,包含人脸、通用行为分析、视频结构化、穿戴检测，消防通道占用、车辆违停、电瓶车进电梯、岗位行为分析、人员行为分析、人数统计、高空抛物检测、物品监控等，支持展示所有安装的算法及版本，展示算法状态，可对已安装的算法进行手动更新；</w:t>
            </w:r>
          </w:p>
          <w:p w14:paraId="0575F7B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6、设备内置≥2颗高性能GPU，单颗GPU算力≥22TOPS（int8），每颗GPU可虚拟成≥4个智能引擎；</w:t>
            </w:r>
          </w:p>
          <w:p w14:paraId="6158587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7、文搜图：支持一句话检索图片和关联录像，单GPU支持≥16路1080p或400万分辨率图片流分析，并发解析能力≥4张/秒；</w:t>
            </w:r>
          </w:p>
          <w:p w14:paraId="70E4CB3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8、文本布控：支持一句话生成算法，单GPU支持≥16路1080p或400万分辨率图片流分析，并发解析能力≥4张/秒；</w:t>
            </w:r>
          </w:p>
          <w:p w14:paraId="0479354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9、支持利用大模型对分析结果进行二次研判；支持去除误报和增补漏报两种模式；经过二次研判的结果均自动打标，包括正报、疑似误报、漏报三种状态，支持人工复核;（提供具备 CNAS 或 CMA 认证的检测机构出具的检测报告复印件）；</w:t>
            </w:r>
          </w:p>
          <w:p w14:paraId="020A484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支持利用大模型进行算法生成以及配置预警功能，输入指定文本可自定义生成算法，可选择通道部署自定义算法模型，实现定时抓图/事件图片分析，相似度达到阈值时及时触发报警，支持联动录像抓图、蜂鸣报警、预置点、邮件、本地报警输出、IPC 报警输出、门禁、语音提示以及日志记录;（提供具备 CNAS 或 CMA 认证的检测机构出具的检测报告复印件）；</w:t>
            </w:r>
          </w:p>
          <w:p w14:paraId="2B6D0D5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11、支持以图搜图，支持批量上传 ≥50 张人脸图片，并同时对≥ 10 张目标人脸进行相似图片搜索；支持智能关联可信度高的人脸图片进行二次检索，将关联的人脸和人体的以图搜图的结果同时显示;（提供具备 CNAS 或 CMA 认证的检测机构出具的检测报告复印件）；</w:t>
            </w:r>
          </w:p>
          <w:p w14:paraId="496B99D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12、支持联动录像，抓图，日志，蜂鸣，邮件，预置点，本地报警输出，IPC报警输出，门禁，语音播报，声光报警联动；</w:t>
            </w:r>
          </w:p>
        </w:tc>
        <w:tc>
          <w:tcPr>
            <w:tcW w:w="2355" w:type="dxa"/>
            <w:noWrap w:val="0"/>
            <w:vAlign w:val="top"/>
          </w:tcPr>
          <w:p w14:paraId="78A8FBF5">
            <w:pPr>
              <w:spacing w:line="360" w:lineRule="atLeast"/>
              <w:ind w:firstLine="470" w:firstLineChars="196"/>
              <w:jc w:val="left"/>
              <w:rPr>
                <w:rFonts w:hint="eastAsia" w:ascii="宋体"/>
                <w:sz w:val="24"/>
              </w:rPr>
            </w:pPr>
          </w:p>
        </w:tc>
      </w:tr>
      <w:tr w14:paraId="232A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71F62D20">
            <w:pPr>
              <w:keepNext w:val="0"/>
              <w:keepLines w:val="0"/>
              <w:widowControl/>
              <w:suppressLineNumbers w:val="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056" w:type="dxa"/>
            <w:noWrap w:val="0"/>
            <w:vAlign w:val="center"/>
          </w:tcPr>
          <w:p w14:paraId="1174204F">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显示器</w:t>
            </w:r>
          </w:p>
        </w:tc>
        <w:tc>
          <w:tcPr>
            <w:tcW w:w="5895" w:type="dxa"/>
            <w:noWrap w:val="0"/>
            <w:vAlign w:val="center"/>
          </w:tcPr>
          <w:p w14:paraId="0EFD4EE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1、采用液晶面板，LED背光源，满足7*24小时连续工作；</w:t>
            </w:r>
          </w:p>
          <w:p w14:paraId="00584FA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2、屏幕尺寸≥43寸，不低于1080P高清显示；</w:t>
            </w:r>
          </w:p>
          <w:p w14:paraId="0724622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3、支持HDMI、VGA、AUDIO、USB多种信号输入；</w:t>
            </w:r>
          </w:p>
          <w:p w14:paraId="3955851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4、支持旋钮按键、红外遥控双重控制；</w:t>
            </w:r>
          </w:p>
          <w:p w14:paraId="2F3B42C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5、内置高性能电源设计，能耗低，静音；</w:t>
            </w:r>
          </w:p>
          <w:p w14:paraId="2CA53DC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6、支持自动消除残影功能，保护液晶屏的长期使用；</w:t>
            </w:r>
          </w:p>
        </w:tc>
        <w:tc>
          <w:tcPr>
            <w:tcW w:w="2355" w:type="dxa"/>
            <w:noWrap w:val="0"/>
            <w:vAlign w:val="top"/>
          </w:tcPr>
          <w:p w14:paraId="0D70A069">
            <w:pPr>
              <w:spacing w:line="360" w:lineRule="atLeast"/>
              <w:ind w:firstLine="470" w:firstLineChars="196"/>
              <w:jc w:val="left"/>
              <w:rPr>
                <w:rFonts w:hint="eastAsia" w:ascii="宋体"/>
                <w:sz w:val="24"/>
              </w:rPr>
            </w:pPr>
          </w:p>
        </w:tc>
      </w:tr>
      <w:tr w14:paraId="2CA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58269CC5">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056" w:type="dxa"/>
            <w:noWrap w:val="0"/>
            <w:vAlign w:val="center"/>
          </w:tcPr>
          <w:p w14:paraId="3176EBC7">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核心交换机</w:t>
            </w:r>
          </w:p>
        </w:tc>
        <w:tc>
          <w:tcPr>
            <w:tcW w:w="5895" w:type="dxa"/>
            <w:noWrap w:val="0"/>
            <w:vAlign w:val="center"/>
          </w:tcPr>
          <w:p w14:paraId="7128553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1、设备提供10/100/1000BASE-T电口≥24个，100M/1000Mbps SFP光口≥4个；</w:t>
            </w:r>
          </w:p>
          <w:p w14:paraId="5BCB712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2、交换容量≥336Gbps；包转发率≥51Mpps；</w:t>
            </w:r>
          </w:p>
          <w:p w14:paraId="1295E7F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3、支持STP/RSTP/MSTP环网技术；</w:t>
            </w:r>
          </w:p>
          <w:p w14:paraId="091F771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4、支持基于L2/L3/L4的ACL流识别与过滤安全机制；</w:t>
            </w:r>
          </w:p>
          <w:p w14:paraId="2C9E75F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5、支持对组播、广播、未知单播报文的抑制功能；</w:t>
            </w:r>
          </w:p>
          <w:p w14:paraId="7887F9B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6、支持ICMPv6、DHCPv6、ACLv6、IPv6 Telnet等IPv6协议；</w:t>
            </w:r>
          </w:p>
          <w:p w14:paraId="3CD3FA6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7、支持通过管理平台、手机对交换机进行远程控制和状态查看、系统拓扑展示及管理、远程升级和重启(提供具有CNAS或CMA标识第三方机构的检测报告复印件并加盖投标人公章)；</w:t>
            </w:r>
          </w:p>
          <w:p w14:paraId="034B070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8、支持通过管理平对交换机间不同的连接方式进行系统拓扑识别，包括网线连接、光纤连接、无线连接(提供具有CNAS或CMA标识第三方机构的检测报告复印件并加盖投标人公章)；</w:t>
            </w:r>
          </w:p>
          <w:p w14:paraId="30CDADB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9、支持通过管理平台展示链路详情、包括传输速率、链路两端设备信息和链路带宽告警(提供具有CNAS或CMA标识第三方机构的检测报告复印件并加盖投标人公章)；</w:t>
            </w:r>
          </w:p>
          <w:p w14:paraId="0D81089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10、支持通过管理平台、手机在网络拓扑中展示交换机详情，包括基本信息、性能使用信息、交换机面板状态、端口信息(提供具有CNAS或CMA标识第三方机构的检测报告复印件并加盖投标人公章)；</w:t>
            </w:r>
          </w:p>
          <w:p w14:paraId="77C5AEA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11、支持通过管理平台、手机在系统异常时实时推送交换机告警信息并展示告警内容(提供具有CNAS或CMA标识第三方机构的检测报告复印件并加盖投标人公章)；</w:t>
            </w:r>
          </w:p>
        </w:tc>
        <w:tc>
          <w:tcPr>
            <w:tcW w:w="2355" w:type="dxa"/>
            <w:noWrap w:val="0"/>
            <w:vAlign w:val="top"/>
          </w:tcPr>
          <w:p w14:paraId="227F3DA5">
            <w:pPr>
              <w:spacing w:line="360" w:lineRule="atLeast"/>
              <w:ind w:firstLine="470" w:firstLineChars="196"/>
              <w:jc w:val="left"/>
              <w:rPr>
                <w:rFonts w:hint="eastAsia" w:ascii="宋体"/>
                <w:sz w:val="24"/>
              </w:rPr>
            </w:pPr>
          </w:p>
        </w:tc>
      </w:tr>
      <w:tr w14:paraId="1671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6F02954A">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056" w:type="dxa"/>
            <w:noWrap w:val="0"/>
            <w:vAlign w:val="center"/>
          </w:tcPr>
          <w:p w14:paraId="5A89292E">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汇聚交换机</w:t>
            </w:r>
          </w:p>
        </w:tc>
        <w:tc>
          <w:tcPr>
            <w:tcW w:w="5895" w:type="dxa"/>
            <w:noWrap w:val="0"/>
            <w:vAlign w:val="center"/>
          </w:tcPr>
          <w:p w14:paraId="2A9AA91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1、设备提供10/100/1000Mbps PoE电口≥24个，10/100/1000Mbps 电口≥2个，1G SFP光口≥2个；</w:t>
            </w:r>
          </w:p>
          <w:p w14:paraId="7A37674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2、交换容量≥56Gbps；包转发率≥41Mpps；</w:t>
            </w:r>
          </w:p>
          <w:p w14:paraId="3C479C92">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3、最少两个端口支持最大功率≥90W，总功率≥375W；</w:t>
            </w:r>
          </w:p>
          <w:p w14:paraId="75B2B8D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4、IEEE802.3af/ IEEE802.3at//IEEE802.3bt 协议；</w:t>
            </w:r>
          </w:p>
          <w:p w14:paraId="62E1BA5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5、支持PoE传输供电距离≥250米；</w:t>
            </w:r>
          </w:p>
          <w:p w14:paraId="59673A8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6、当端口对应IPC出现故障时，支持自动检测并对故障端口进行重启(提供具有CNAS或CMA标识第三方机构的检测报告复印件并加盖投标人公章)；</w:t>
            </w:r>
          </w:p>
          <w:p w14:paraId="02D9208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7、单个PoE端口超出最大输出功率时应能自动掉电(提供具有CNAS或CMA标识第三方机构的检测报告复印件并加盖投标人公章)；</w:t>
            </w:r>
          </w:p>
          <w:p w14:paraId="1CD8543C">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8、整机超出额定功率时，应能按端口序号从后往前断电，直至达到额定输出功率范围内(提供具有CNAS或CMA标识第三方机构的检测报告复印件并加盖投标人公章)；</w:t>
            </w:r>
          </w:p>
        </w:tc>
        <w:tc>
          <w:tcPr>
            <w:tcW w:w="2355" w:type="dxa"/>
            <w:noWrap w:val="0"/>
            <w:vAlign w:val="top"/>
          </w:tcPr>
          <w:p w14:paraId="7762D495">
            <w:pPr>
              <w:spacing w:line="360" w:lineRule="atLeast"/>
              <w:ind w:firstLine="470" w:firstLineChars="196"/>
              <w:jc w:val="left"/>
              <w:rPr>
                <w:rFonts w:hint="eastAsia" w:ascii="宋体"/>
                <w:sz w:val="24"/>
              </w:rPr>
            </w:pPr>
          </w:p>
        </w:tc>
      </w:tr>
      <w:tr w14:paraId="7C64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6DF29B23">
            <w:pPr>
              <w:keepNext w:val="0"/>
              <w:keepLines w:val="0"/>
              <w:widowControl/>
              <w:suppressLineNumbers w:val="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056" w:type="dxa"/>
            <w:noWrap w:val="0"/>
            <w:vAlign w:val="center"/>
          </w:tcPr>
          <w:p w14:paraId="4E76AEBC">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汇聚交换机</w:t>
            </w:r>
          </w:p>
        </w:tc>
        <w:tc>
          <w:tcPr>
            <w:tcW w:w="5895" w:type="dxa"/>
            <w:noWrap w:val="0"/>
            <w:vAlign w:val="center"/>
          </w:tcPr>
          <w:p w14:paraId="4F4C4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1、设备提供10/100/1000Mbps自适应PoE电口≥16个，1G SFP光口≥2个；</w:t>
            </w:r>
          </w:p>
          <w:p w14:paraId="729AD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2、交换容量≥40Gbps；包转发率≥ 29Mbps；</w:t>
            </w:r>
          </w:p>
          <w:p w14:paraId="38B4E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3、整机最大PoE输出功率≥240w；</w:t>
            </w:r>
          </w:p>
          <w:p w14:paraId="40CB4B0C">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4、PoE远距离供电：支持通过300米网线进行POE供电；(提供具有CNAS或CMA标识第三方机构的检测报告复印件并加盖投标人公章)</w:t>
            </w:r>
            <w:r>
              <w:rPr>
                <w:rFonts w:hint="eastAsia" w:ascii="宋体" w:hAnsi="宋体" w:cs="宋体"/>
                <w:i w:val="0"/>
                <w:iCs w:val="0"/>
                <w:color w:val="000000"/>
                <w:sz w:val="20"/>
                <w:szCs w:val="20"/>
                <w:u w:val="none"/>
                <w:lang w:eastAsia="zh-CN"/>
              </w:rPr>
              <w:t>；</w:t>
            </w:r>
          </w:p>
          <w:p w14:paraId="2B141E9F">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5、PoE功率管理功能：单个POE端口超出最大输出功率时应能自动断电；(提供具有CNAS或CMA标识第三方机构的检测报告复印件并加盖投标人公章)</w:t>
            </w:r>
            <w:r>
              <w:rPr>
                <w:rFonts w:hint="eastAsia" w:ascii="宋体" w:hAnsi="宋体" w:cs="宋体"/>
                <w:i w:val="0"/>
                <w:iCs w:val="0"/>
                <w:color w:val="000000"/>
                <w:sz w:val="20"/>
                <w:szCs w:val="20"/>
                <w:u w:val="none"/>
                <w:lang w:eastAsia="zh-CN"/>
              </w:rPr>
              <w:t>；</w:t>
            </w:r>
          </w:p>
        </w:tc>
        <w:tc>
          <w:tcPr>
            <w:tcW w:w="2355" w:type="dxa"/>
            <w:noWrap w:val="0"/>
            <w:vAlign w:val="top"/>
          </w:tcPr>
          <w:p w14:paraId="437B9214">
            <w:pPr>
              <w:spacing w:line="360" w:lineRule="atLeast"/>
              <w:ind w:firstLine="470" w:firstLineChars="196"/>
              <w:jc w:val="left"/>
              <w:rPr>
                <w:rFonts w:hint="eastAsia" w:ascii="宋体"/>
                <w:sz w:val="24"/>
              </w:rPr>
            </w:pPr>
          </w:p>
        </w:tc>
      </w:tr>
      <w:tr w14:paraId="5541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3F0B0551">
            <w:pPr>
              <w:keepNext w:val="0"/>
              <w:keepLines w:val="0"/>
              <w:widowControl/>
              <w:suppressLineNumbers w:val="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1056" w:type="dxa"/>
            <w:noWrap w:val="0"/>
            <w:vAlign w:val="center"/>
          </w:tcPr>
          <w:p w14:paraId="59FA52CA">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接入交换机</w:t>
            </w:r>
          </w:p>
        </w:tc>
        <w:tc>
          <w:tcPr>
            <w:tcW w:w="5895" w:type="dxa"/>
            <w:noWrap w:val="0"/>
            <w:vAlign w:val="center"/>
          </w:tcPr>
          <w:p w14:paraId="1A3A27B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1、交换容量≥26Gbps，包转发率≥19Mpps；</w:t>
            </w:r>
          </w:p>
          <w:p w14:paraId="4131B39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2、设备提供10/100/1000Mbps自适应PoE电口≥8个，10/100/1000Mbps自适应上行电口≥1个，1G SFP光口≥1个；</w:t>
            </w:r>
          </w:p>
          <w:p w14:paraId="4C2EC92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3、整机最大PoE供电功率≥65W；</w:t>
            </w:r>
          </w:p>
          <w:p w14:paraId="61EE784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4、支持250米远距离供电，支持PoE看门狗功能；</w:t>
            </w:r>
          </w:p>
          <w:p w14:paraId="3D37C1B7">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5、工作温度：0℃～40℃；雷电防护：共模 4KV；</w:t>
            </w:r>
          </w:p>
        </w:tc>
        <w:tc>
          <w:tcPr>
            <w:tcW w:w="2355" w:type="dxa"/>
            <w:noWrap w:val="0"/>
            <w:vAlign w:val="top"/>
          </w:tcPr>
          <w:p w14:paraId="05DF883D">
            <w:pPr>
              <w:spacing w:line="360" w:lineRule="atLeast"/>
              <w:ind w:firstLine="470" w:firstLineChars="196"/>
              <w:jc w:val="left"/>
              <w:rPr>
                <w:rFonts w:hint="eastAsia" w:ascii="宋体"/>
                <w:sz w:val="24"/>
              </w:rPr>
            </w:pPr>
          </w:p>
        </w:tc>
      </w:tr>
      <w:tr w14:paraId="6270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46EA6FA8">
            <w:pPr>
              <w:keepNext w:val="0"/>
              <w:keepLines w:val="0"/>
              <w:widowControl/>
              <w:suppressLineNumbers w:val="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056" w:type="dxa"/>
            <w:noWrap w:val="0"/>
            <w:vAlign w:val="center"/>
          </w:tcPr>
          <w:p w14:paraId="5EE54BBA">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接入交换机</w:t>
            </w:r>
          </w:p>
        </w:tc>
        <w:tc>
          <w:tcPr>
            <w:tcW w:w="5895" w:type="dxa"/>
            <w:noWrap w:val="0"/>
            <w:vAlign w:val="center"/>
          </w:tcPr>
          <w:p w14:paraId="3CC07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1、交换容量≥12Gbps，包转发率≥8Mpps；</w:t>
            </w:r>
          </w:p>
          <w:p w14:paraId="269F8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2、设备提供10/100/1000Mbps自适应PoE电口≥4个，10/100/1000Mbps自适应上行电口≥2个；</w:t>
            </w:r>
          </w:p>
          <w:p w14:paraId="3C15A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3、整机最大PoE供电功率≥65W；</w:t>
            </w:r>
          </w:p>
          <w:p w14:paraId="51A95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4、支持250米远距离供电，支持PoE看门狗功能；</w:t>
            </w:r>
          </w:p>
          <w:p w14:paraId="7E3CEBB0">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5、工作温度：0℃～40℃；雷电防护：共模 4KV；</w:t>
            </w:r>
          </w:p>
        </w:tc>
        <w:tc>
          <w:tcPr>
            <w:tcW w:w="2355" w:type="dxa"/>
            <w:noWrap w:val="0"/>
            <w:vAlign w:val="top"/>
          </w:tcPr>
          <w:p w14:paraId="4C015822">
            <w:pPr>
              <w:spacing w:line="360" w:lineRule="atLeast"/>
              <w:ind w:firstLine="470" w:firstLineChars="196"/>
              <w:jc w:val="left"/>
              <w:rPr>
                <w:rFonts w:hint="eastAsia" w:ascii="宋体"/>
                <w:sz w:val="24"/>
              </w:rPr>
            </w:pPr>
          </w:p>
        </w:tc>
      </w:tr>
      <w:tr w14:paraId="13C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2349430E">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13</w:t>
            </w:r>
          </w:p>
        </w:tc>
        <w:tc>
          <w:tcPr>
            <w:tcW w:w="1056" w:type="dxa"/>
            <w:noWrap w:val="0"/>
            <w:vAlign w:val="center"/>
          </w:tcPr>
          <w:p w14:paraId="4CB5835F">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光纤收发器</w:t>
            </w:r>
          </w:p>
        </w:tc>
        <w:tc>
          <w:tcPr>
            <w:tcW w:w="5895" w:type="dxa"/>
            <w:noWrap w:val="0"/>
            <w:vAlign w:val="center"/>
          </w:tcPr>
          <w:p w14:paraId="030F8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1、设备提供10/100/1000Mbps电口≥1个，1G SFP SC光口≥1个；</w:t>
            </w:r>
          </w:p>
          <w:p w14:paraId="73A35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2、支持单模单纤；</w:t>
            </w:r>
          </w:p>
          <w:p w14:paraId="134B0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3、最大传输距离不低于20kM；</w:t>
            </w:r>
          </w:p>
          <w:p w14:paraId="6458994A">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4、防护等级不低于IP30</w:t>
            </w:r>
            <w:r>
              <w:rPr>
                <w:rFonts w:hint="eastAsia" w:ascii="宋体" w:hAnsi="宋体" w:cs="宋体"/>
                <w:i w:val="0"/>
                <w:iCs w:val="0"/>
                <w:color w:val="000000"/>
                <w:sz w:val="20"/>
                <w:szCs w:val="20"/>
                <w:u w:val="none"/>
                <w:lang w:eastAsia="zh-CN"/>
              </w:rPr>
              <w:t>；</w:t>
            </w:r>
          </w:p>
        </w:tc>
        <w:tc>
          <w:tcPr>
            <w:tcW w:w="2355" w:type="dxa"/>
            <w:noWrap w:val="0"/>
            <w:vAlign w:val="top"/>
          </w:tcPr>
          <w:p w14:paraId="66BE91A7">
            <w:pPr>
              <w:spacing w:line="360" w:lineRule="atLeast"/>
              <w:ind w:firstLine="470" w:firstLineChars="196"/>
              <w:jc w:val="left"/>
              <w:rPr>
                <w:rFonts w:hint="eastAsia" w:ascii="宋体"/>
                <w:sz w:val="24"/>
              </w:rPr>
            </w:pPr>
          </w:p>
        </w:tc>
      </w:tr>
      <w:tr w14:paraId="5A39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382296FB">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14</w:t>
            </w:r>
          </w:p>
        </w:tc>
        <w:tc>
          <w:tcPr>
            <w:tcW w:w="1056" w:type="dxa"/>
            <w:noWrap w:val="0"/>
            <w:vAlign w:val="center"/>
          </w:tcPr>
          <w:p w14:paraId="32D0D384">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网线</w:t>
            </w:r>
          </w:p>
        </w:tc>
        <w:tc>
          <w:tcPr>
            <w:tcW w:w="5895" w:type="dxa"/>
            <w:noWrap w:val="0"/>
            <w:vAlign w:val="center"/>
          </w:tcPr>
          <w:p w14:paraId="7FF41DBC">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1、抗拉、抗扭、耐磨、防水、撕裂绳自剥皮线缆设计特性，减少线缆安装过程中的各种潜在风险</w:t>
            </w:r>
            <w:r>
              <w:rPr>
                <w:rFonts w:hint="eastAsia" w:ascii="宋体" w:hAnsi="宋体" w:cs="宋体"/>
                <w:i w:val="0"/>
                <w:iCs w:val="0"/>
                <w:color w:val="000000"/>
                <w:sz w:val="20"/>
                <w:szCs w:val="20"/>
                <w:u w:val="none"/>
                <w:lang w:eastAsia="zh-CN"/>
              </w:rPr>
              <w:t>；</w:t>
            </w:r>
          </w:p>
          <w:p w14:paraId="743CE357">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2、CAT6 传输带宽250MHZ，推荐用于千兆传输</w:t>
            </w:r>
            <w:r>
              <w:rPr>
                <w:rFonts w:hint="eastAsia" w:ascii="宋体" w:hAnsi="宋体" w:cs="宋体"/>
                <w:i w:val="0"/>
                <w:iCs w:val="0"/>
                <w:color w:val="000000"/>
                <w:sz w:val="20"/>
                <w:szCs w:val="20"/>
                <w:u w:val="none"/>
                <w:lang w:eastAsia="zh-CN"/>
              </w:rPr>
              <w:t>；</w:t>
            </w:r>
          </w:p>
          <w:p w14:paraId="41F32101">
            <w:pPr>
              <w:keepNext w:val="0"/>
              <w:keepLines w:val="0"/>
              <w:widowControl/>
              <w:suppressLineNumbers w:val="0"/>
              <w:jc w:val="left"/>
              <w:textAlignment w:val="center"/>
              <w:rPr>
                <w:rFonts w:hint="eastAsia" w:ascii="宋体" w:hAnsi="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3、导体采用无氧铜，符合国家标准：GB/T3953，传输衰减小、延时低</w:t>
            </w:r>
            <w:r>
              <w:rPr>
                <w:rFonts w:hint="eastAsia" w:ascii="宋体" w:hAnsi="宋体" w:cs="宋体"/>
                <w:i w:val="0"/>
                <w:iCs w:val="0"/>
                <w:color w:val="000000"/>
                <w:sz w:val="20"/>
                <w:szCs w:val="20"/>
                <w:u w:val="none"/>
                <w:lang w:eastAsia="zh-CN"/>
              </w:rPr>
              <w:t>；</w:t>
            </w:r>
          </w:p>
          <w:p w14:paraId="4EE5E54A">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4、阻燃性能符合国家标准：GB/T 18380.22</w:t>
            </w:r>
            <w:r>
              <w:rPr>
                <w:rFonts w:hint="eastAsia" w:ascii="宋体" w:hAnsi="宋体" w:cs="宋体"/>
                <w:i w:val="0"/>
                <w:iCs w:val="0"/>
                <w:color w:val="000000"/>
                <w:sz w:val="20"/>
                <w:szCs w:val="20"/>
                <w:u w:val="none"/>
                <w:lang w:eastAsia="zh-CN"/>
              </w:rPr>
              <w:t>；</w:t>
            </w:r>
          </w:p>
          <w:p w14:paraId="26A560D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5、绿色环保，所用材料均符合RoHS</w:t>
            </w:r>
            <w:r>
              <w:rPr>
                <w:rFonts w:hint="eastAsia" w:ascii="宋体" w:hAnsi="宋体" w:cs="宋体"/>
                <w:i w:val="0"/>
                <w:iCs w:val="0"/>
                <w:color w:val="000000"/>
                <w:sz w:val="20"/>
                <w:szCs w:val="20"/>
                <w:u w:val="none"/>
                <w:lang w:eastAsia="zh-CN"/>
              </w:rPr>
              <w:t>；</w:t>
            </w:r>
          </w:p>
          <w:p w14:paraId="5878DF62">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6、线缆长度不少于305米/箱</w:t>
            </w:r>
            <w:r>
              <w:rPr>
                <w:rFonts w:hint="eastAsia" w:ascii="宋体" w:hAnsi="宋体" w:cs="宋体"/>
                <w:i w:val="0"/>
                <w:iCs w:val="0"/>
                <w:color w:val="000000"/>
                <w:sz w:val="20"/>
                <w:szCs w:val="20"/>
                <w:u w:val="none"/>
                <w:lang w:eastAsia="zh-CN"/>
              </w:rPr>
              <w:t>；</w:t>
            </w:r>
          </w:p>
        </w:tc>
        <w:tc>
          <w:tcPr>
            <w:tcW w:w="2355" w:type="dxa"/>
            <w:noWrap w:val="0"/>
            <w:vAlign w:val="top"/>
          </w:tcPr>
          <w:p w14:paraId="09DAAA80">
            <w:pPr>
              <w:spacing w:line="360" w:lineRule="atLeast"/>
              <w:ind w:firstLine="470" w:firstLineChars="196"/>
              <w:jc w:val="left"/>
              <w:rPr>
                <w:rFonts w:hint="eastAsia" w:ascii="宋体"/>
                <w:sz w:val="24"/>
              </w:rPr>
            </w:pPr>
          </w:p>
        </w:tc>
      </w:tr>
      <w:tr w14:paraId="236C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90" w:type="dxa"/>
            <w:noWrap w:val="0"/>
            <w:vAlign w:val="center"/>
          </w:tcPr>
          <w:p w14:paraId="2C7A2B5D">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15</w:t>
            </w:r>
          </w:p>
        </w:tc>
        <w:tc>
          <w:tcPr>
            <w:tcW w:w="1056" w:type="dxa"/>
            <w:noWrap w:val="0"/>
            <w:vAlign w:val="center"/>
          </w:tcPr>
          <w:p w14:paraId="0D610DD0">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电源线</w:t>
            </w:r>
          </w:p>
        </w:tc>
        <w:tc>
          <w:tcPr>
            <w:tcW w:w="5895" w:type="dxa"/>
            <w:noWrap w:val="0"/>
            <w:vAlign w:val="center"/>
          </w:tcPr>
          <w:p w14:paraId="3EA0A4EA">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国标RVV3*1.5</w:t>
            </w:r>
          </w:p>
        </w:tc>
        <w:tc>
          <w:tcPr>
            <w:tcW w:w="2355" w:type="dxa"/>
            <w:noWrap w:val="0"/>
            <w:vAlign w:val="top"/>
          </w:tcPr>
          <w:p w14:paraId="281D5C4E">
            <w:pPr>
              <w:spacing w:line="360" w:lineRule="atLeast"/>
              <w:ind w:firstLine="470" w:firstLineChars="196"/>
              <w:jc w:val="left"/>
              <w:rPr>
                <w:rFonts w:hint="eastAsia" w:ascii="宋体"/>
                <w:sz w:val="24"/>
              </w:rPr>
            </w:pPr>
          </w:p>
        </w:tc>
      </w:tr>
      <w:tr w14:paraId="2CB2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90" w:type="dxa"/>
            <w:noWrap w:val="0"/>
            <w:vAlign w:val="center"/>
          </w:tcPr>
          <w:p w14:paraId="036346E4">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16</w:t>
            </w:r>
          </w:p>
        </w:tc>
        <w:tc>
          <w:tcPr>
            <w:tcW w:w="1056" w:type="dxa"/>
            <w:noWrap w:val="0"/>
            <w:vAlign w:val="center"/>
          </w:tcPr>
          <w:p w14:paraId="618CCDF2">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光纤线</w:t>
            </w:r>
          </w:p>
        </w:tc>
        <w:tc>
          <w:tcPr>
            <w:tcW w:w="5895" w:type="dxa"/>
            <w:noWrap w:val="0"/>
            <w:vAlign w:val="center"/>
          </w:tcPr>
          <w:p w14:paraId="1D03E5E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8芯室外光纤</w:t>
            </w:r>
          </w:p>
        </w:tc>
        <w:tc>
          <w:tcPr>
            <w:tcW w:w="2355" w:type="dxa"/>
            <w:noWrap w:val="0"/>
            <w:vAlign w:val="top"/>
          </w:tcPr>
          <w:p w14:paraId="3AD2D979">
            <w:pPr>
              <w:spacing w:line="360" w:lineRule="atLeast"/>
              <w:ind w:firstLine="470" w:firstLineChars="196"/>
              <w:jc w:val="left"/>
              <w:rPr>
                <w:rFonts w:hint="eastAsia" w:ascii="宋体"/>
                <w:sz w:val="24"/>
              </w:rPr>
            </w:pPr>
          </w:p>
        </w:tc>
      </w:tr>
      <w:tr w14:paraId="2178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5FF4DD85">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17</w:t>
            </w:r>
          </w:p>
        </w:tc>
        <w:tc>
          <w:tcPr>
            <w:tcW w:w="1056" w:type="dxa"/>
            <w:noWrap w:val="0"/>
            <w:vAlign w:val="center"/>
          </w:tcPr>
          <w:p w14:paraId="69A5144E">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光纤收发器机箱</w:t>
            </w:r>
          </w:p>
        </w:tc>
        <w:tc>
          <w:tcPr>
            <w:tcW w:w="5895" w:type="dxa"/>
            <w:noWrap w:val="0"/>
            <w:vAlign w:val="center"/>
          </w:tcPr>
          <w:p w14:paraId="75CD00C1">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1、机箱不低于19英寸</w:t>
            </w:r>
            <w:r>
              <w:rPr>
                <w:rFonts w:hint="eastAsia" w:ascii="宋体" w:hAnsi="宋体" w:cs="宋体"/>
                <w:i w:val="0"/>
                <w:iCs w:val="0"/>
                <w:color w:val="000000"/>
                <w:sz w:val="20"/>
                <w:szCs w:val="20"/>
                <w:u w:val="none"/>
                <w:lang w:eastAsia="zh-CN"/>
              </w:rPr>
              <w:t>；</w:t>
            </w:r>
          </w:p>
          <w:p w14:paraId="597F1183">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2、支持2U插卡式机箱，≥14槽</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支持双电源</w:t>
            </w:r>
            <w:r>
              <w:rPr>
                <w:rFonts w:hint="eastAsia" w:ascii="宋体" w:hAnsi="宋体" w:cs="宋体"/>
                <w:i w:val="0"/>
                <w:iCs w:val="0"/>
                <w:color w:val="000000"/>
                <w:sz w:val="20"/>
                <w:szCs w:val="20"/>
                <w:u w:val="none"/>
                <w:lang w:eastAsia="zh-CN"/>
              </w:rPr>
              <w:t>；</w:t>
            </w:r>
          </w:p>
        </w:tc>
        <w:tc>
          <w:tcPr>
            <w:tcW w:w="2355" w:type="dxa"/>
            <w:noWrap w:val="0"/>
            <w:vAlign w:val="top"/>
          </w:tcPr>
          <w:p w14:paraId="56135770">
            <w:pPr>
              <w:spacing w:line="360" w:lineRule="atLeast"/>
              <w:ind w:firstLine="470" w:firstLineChars="196"/>
              <w:jc w:val="left"/>
              <w:rPr>
                <w:rFonts w:hint="eastAsia" w:ascii="宋体"/>
                <w:sz w:val="24"/>
              </w:rPr>
            </w:pPr>
          </w:p>
        </w:tc>
      </w:tr>
      <w:tr w14:paraId="0257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0" w:type="dxa"/>
            <w:noWrap w:val="0"/>
            <w:vAlign w:val="center"/>
          </w:tcPr>
          <w:p w14:paraId="1419DFEE">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18</w:t>
            </w:r>
          </w:p>
        </w:tc>
        <w:tc>
          <w:tcPr>
            <w:tcW w:w="1056" w:type="dxa"/>
            <w:noWrap w:val="0"/>
            <w:vAlign w:val="center"/>
          </w:tcPr>
          <w:p w14:paraId="4C28C3EB">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枪机支架</w:t>
            </w:r>
          </w:p>
        </w:tc>
        <w:tc>
          <w:tcPr>
            <w:tcW w:w="5895" w:type="dxa"/>
            <w:noWrap w:val="0"/>
            <w:vAlign w:val="center"/>
          </w:tcPr>
          <w:p w14:paraId="2A42242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外观颜色：白色；承重≥l1.0kg；</w:t>
            </w:r>
          </w:p>
        </w:tc>
        <w:tc>
          <w:tcPr>
            <w:tcW w:w="2355" w:type="dxa"/>
            <w:noWrap w:val="0"/>
            <w:vAlign w:val="top"/>
          </w:tcPr>
          <w:p w14:paraId="38C03577">
            <w:pPr>
              <w:spacing w:line="360" w:lineRule="atLeast"/>
              <w:ind w:firstLine="470" w:firstLineChars="196"/>
              <w:jc w:val="left"/>
              <w:rPr>
                <w:rFonts w:hint="eastAsia" w:ascii="宋体"/>
                <w:sz w:val="24"/>
              </w:rPr>
            </w:pPr>
          </w:p>
        </w:tc>
      </w:tr>
      <w:tr w14:paraId="24B2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2A69DF0E">
            <w:pPr>
              <w:keepNext w:val="0"/>
              <w:keepLines w:val="0"/>
              <w:widowControl/>
              <w:suppressLineNumbers w:val="0"/>
              <w:jc w:val="center"/>
              <w:textAlignment w:val="center"/>
              <w:rPr>
                <w:rFonts w:hint="eastAsia" w:ascii="宋体"/>
                <w:sz w:val="24"/>
              </w:rPr>
            </w:pPr>
            <w:r>
              <w:rPr>
                <w:rFonts w:hint="eastAsia" w:ascii="宋体" w:hAnsi="宋体" w:eastAsia="宋体" w:cs="宋体"/>
                <w:i w:val="0"/>
                <w:iCs w:val="0"/>
                <w:color w:val="000000"/>
                <w:kern w:val="0"/>
                <w:sz w:val="20"/>
                <w:szCs w:val="20"/>
                <w:u w:val="none"/>
                <w:lang w:val="en-US" w:eastAsia="zh-CN" w:bidi="ar"/>
              </w:rPr>
              <w:t>19</w:t>
            </w:r>
          </w:p>
        </w:tc>
        <w:tc>
          <w:tcPr>
            <w:tcW w:w="1056" w:type="dxa"/>
            <w:noWrap w:val="0"/>
            <w:vAlign w:val="center"/>
          </w:tcPr>
          <w:p w14:paraId="560941A0">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光纤终端ODF</w:t>
            </w:r>
          </w:p>
        </w:tc>
        <w:tc>
          <w:tcPr>
            <w:tcW w:w="5895" w:type="dxa"/>
            <w:noWrap w:val="0"/>
            <w:vAlign w:val="center"/>
          </w:tcPr>
          <w:p w14:paraId="754BAF90">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机架式</w:t>
            </w:r>
          </w:p>
        </w:tc>
        <w:tc>
          <w:tcPr>
            <w:tcW w:w="2355" w:type="dxa"/>
            <w:noWrap w:val="0"/>
            <w:vAlign w:val="top"/>
          </w:tcPr>
          <w:p w14:paraId="2E4D13AA">
            <w:pPr>
              <w:spacing w:line="360" w:lineRule="atLeast"/>
              <w:ind w:firstLine="470" w:firstLineChars="196"/>
              <w:jc w:val="left"/>
              <w:rPr>
                <w:rFonts w:hint="eastAsia" w:ascii="宋体"/>
                <w:sz w:val="24"/>
              </w:rPr>
            </w:pPr>
          </w:p>
        </w:tc>
      </w:tr>
      <w:tr w14:paraId="6590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2B9E7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56" w:type="dxa"/>
            <w:noWrap w:val="0"/>
            <w:vAlign w:val="center"/>
          </w:tcPr>
          <w:p w14:paraId="6A2DEF69">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光纤熔接盒</w:t>
            </w:r>
          </w:p>
        </w:tc>
        <w:tc>
          <w:tcPr>
            <w:tcW w:w="5895" w:type="dxa"/>
            <w:noWrap w:val="0"/>
            <w:vAlign w:val="center"/>
          </w:tcPr>
          <w:p w14:paraId="5D61CB5D">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8进8出</w:t>
            </w:r>
          </w:p>
        </w:tc>
        <w:tc>
          <w:tcPr>
            <w:tcW w:w="2355" w:type="dxa"/>
            <w:noWrap w:val="0"/>
            <w:vAlign w:val="top"/>
          </w:tcPr>
          <w:p w14:paraId="0DE5A013">
            <w:pPr>
              <w:spacing w:line="360" w:lineRule="atLeast"/>
              <w:ind w:firstLine="470" w:firstLineChars="196"/>
              <w:jc w:val="left"/>
              <w:rPr>
                <w:rFonts w:hint="eastAsia" w:ascii="宋体"/>
                <w:sz w:val="24"/>
              </w:rPr>
            </w:pPr>
          </w:p>
        </w:tc>
      </w:tr>
      <w:tr w14:paraId="2FE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0" w:type="dxa"/>
            <w:noWrap w:val="0"/>
            <w:vAlign w:val="center"/>
          </w:tcPr>
          <w:p w14:paraId="742F1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56" w:type="dxa"/>
            <w:noWrap w:val="0"/>
            <w:vAlign w:val="center"/>
          </w:tcPr>
          <w:p w14:paraId="4C2D12E5">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尾纤</w:t>
            </w:r>
          </w:p>
        </w:tc>
        <w:tc>
          <w:tcPr>
            <w:tcW w:w="5895" w:type="dxa"/>
            <w:noWrap w:val="0"/>
            <w:vAlign w:val="center"/>
          </w:tcPr>
          <w:p w14:paraId="5A5ED20F">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SC1.5米</w:t>
            </w:r>
          </w:p>
        </w:tc>
        <w:tc>
          <w:tcPr>
            <w:tcW w:w="2355" w:type="dxa"/>
            <w:noWrap w:val="0"/>
            <w:vAlign w:val="top"/>
          </w:tcPr>
          <w:p w14:paraId="30406E81">
            <w:pPr>
              <w:spacing w:line="360" w:lineRule="atLeast"/>
              <w:ind w:firstLine="470" w:firstLineChars="196"/>
              <w:jc w:val="left"/>
              <w:rPr>
                <w:rFonts w:hint="eastAsia" w:ascii="宋体"/>
                <w:sz w:val="24"/>
              </w:rPr>
            </w:pPr>
          </w:p>
        </w:tc>
      </w:tr>
      <w:tr w14:paraId="74B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2E66C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56" w:type="dxa"/>
            <w:noWrap w:val="0"/>
            <w:vAlign w:val="center"/>
          </w:tcPr>
          <w:p w14:paraId="13B05454">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室内机柜交接箱</w:t>
            </w:r>
          </w:p>
        </w:tc>
        <w:tc>
          <w:tcPr>
            <w:tcW w:w="5895" w:type="dxa"/>
            <w:noWrap w:val="0"/>
            <w:vAlign w:val="center"/>
          </w:tcPr>
          <w:p w14:paraId="2B7DD803">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尺寸：300*600；材质：金属</w:t>
            </w:r>
          </w:p>
        </w:tc>
        <w:tc>
          <w:tcPr>
            <w:tcW w:w="2355" w:type="dxa"/>
            <w:noWrap w:val="0"/>
            <w:vAlign w:val="top"/>
          </w:tcPr>
          <w:p w14:paraId="70835421">
            <w:pPr>
              <w:spacing w:line="360" w:lineRule="atLeast"/>
              <w:ind w:firstLine="470" w:firstLineChars="196"/>
              <w:jc w:val="left"/>
              <w:rPr>
                <w:rFonts w:hint="eastAsia" w:ascii="宋体"/>
                <w:sz w:val="24"/>
              </w:rPr>
            </w:pPr>
          </w:p>
        </w:tc>
      </w:tr>
      <w:tr w14:paraId="27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0" w:type="dxa"/>
            <w:noWrap w:val="0"/>
            <w:vAlign w:val="center"/>
          </w:tcPr>
          <w:p w14:paraId="176DE8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56" w:type="dxa"/>
            <w:noWrap w:val="0"/>
            <w:vAlign w:val="center"/>
          </w:tcPr>
          <w:p w14:paraId="187B2DCA">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室外不锈钢交接箱</w:t>
            </w:r>
          </w:p>
        </w:tc>
        <w:tc>
          <w:tcPr>
            <w:tcW w:w="5895" w:type="dxa"/>
            <w:noWrap w:val="0"/>
            <w:vAlign w:val="center"/>
          </w:tcPr>
          <w:p w14:paraId="16A8AF02">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尺寸：300*600；材质：不锈钢</w:t>
            </w:r>
          </w:p>
        </w:tc>
        <w:tc>
          <w:tcPr>
            <w:tcW w:w="2355" w:type="dxa"/>
            <w:noWrap w:val="0"/>
            <w:vAlign w:val="top"/>
          </w:tcPr>
          <w:p w14:paraId="5B466178">
            <w:pPr>
              <w:spacing w:line="360" w:lineRule="atLeast"/>
              <w:ind w:firstLine="470" w:firstLineChars="196"/>
              <w:jc w:val="left"/>
              <w:rPr>
                <w:rFonts w:hint="eastAsia" w:ascii="宋体"/>
                <w:sz w:val="24"/>
              </w:rPr>
            </w:pPr>
          </w:p>
        </w:tc>
      </w:tr>
      <w:tr w14:paraId="7C7B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0" w:type="dxa"/>
            <w:noWrap w:val="0"/>
            <w:vAlign w:val="center"/>
          </w:tcPr>
          <w:p w14:paraId="6F90A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056" w:type="dxa"/>
            <w:noWrap w:val="0"/>
            <w:vAlign w:val="center"/>
          </w:tcPr>
          <w:p w14:paraId="47BDABD2">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PVC管</w:t>
            </w:r>
          </w:p>
        </w:tc>
        <w:tc>
          <w:tcPr>
            <w:tcW w:w="5895" w:type="dxa"/>
            <w:noWrap w:val="0"/>
            <w:vAlign w:val="center"/>
          </w:tcPr>
          <w:p w14:paraId="285A5C3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材质：PVC；直径：20管</w:t>
            </w:r>
          </w:p>
        </w:tc>
        <w:tc>
          <w:tcPr>
            <w:tcW w:w="2355" w:type="dxa"/>
            <w:noWrap w:val="0"/>
            <w:vAlign w:val="top"/>
          </w:tcPr>
          <w:p w14:paraId="2A088EF4">
            <w:pPr>
              <w:spacing w:line="360" w:lineRule="atLeast"/>
              <w:ind w:firstLine="470" w:firstLineChars="196"/>
              <w:jc w:val="left"/>
              <w:rPr>
                <w:rFonts w:hint="eastAsia" w:ascii="宋体"/>
                <w:sz w:val="24"/>
              </w:rPr>
            </w:pPr>
          </w:p>
        </w:tc>
      </w:tr>
      <w:tr w14:paraId="4F64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4312A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056" w:type="dxa"/>
            <w:noWrap w:val="0"/>
            <w:vAlign w:val="center"/>
          </w:tcPr>
          <w:p w14:paraId="1DBFFDF0">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拆装旧设备</w:t>
            </w:r>
          </w:p>
        </w:tc>
        <w:tc>
          <w:tcPr>
            <w:tcW w:w="5895" w:type="dxa"/>
            <w:noWrap w:val="0"/>
            <w:vAlign w:val="center"/>
          </w:tcPr>
          <w:p w14:paraId="5854875C">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旧设备含摄像机，汇聚点光纤，厨房、门卫、磅秤等接入局域网等</w:t>
            </w:r>
          </w:p>
        </w:tc>
        <w:tc>
          <w:tcPr>
            <w:tcW w:w="2355" w:type="dxa"/>
            <w:noWrap w:val="0"/>
            <w:vAlign w:val="top"/>
          </w:tcPr>
          <w:p w14:paraId="2FA78549">
            <w:pPr>
              <w:spacing w:line="360" w:lineRule="atLeast"/>
              <w:ind w:firstLine="470" w:firstLineChars="196"/>
              <w:jc w:val="left"/>
              <w:rPr>
                <w:rFonts w:hint="eastAsia" w:ascii="宋体"/>
                <w:sz w:val="24"/>
              </w:rPr>
            </w:pPr>
          </w:p>
        </w:tc>
      </w:tr>
    </w:tbl>
    <w:p w14:paraId="060E9AEC">
      <w:pPr>
        <w:spacing w:line="360" w:lineRule="atLeast"/>
        <w:ind w:firstLine="470" w:firstLineChars="196"/>
        <w:jc w:val="left"/>
        <w:rPr>
          <w:rFonts w:hint="eastAsia" w:ascii="宋体"/>
          <w:sz w:val="24"/>
        </w:rPr>
      </w:pPr>
      <w:r>
        <w:rPr>
          <w:rFonts w:hint="eastAsia" w:ascii="宋体"/>
          <w:sz w:val="24"/>
        </w:rPr>
        <w:t xml:space="preserve">                                </w:t>
      </w:r>
    </w:p>
    <w:p w14:paraId="5A7EA2E6">
      <w:pPr>
        <w:spacing w:line="360" w:lineRule="atLeast"/>
        <w:ind w:firstLine="470" w:firstLineChars="196"/>
        <w:jc w:val="left"/>
        <w:rPr>
          <w:rFonts w:hint="eastAsia" w:ascii="宋体"/>
          <w:sz w:val="24"/>
        </w:rPr>
      </w:pPr>
    </w:p>
    <w:p w14:paraId="70B2D227">
      <w:pPr>
        <w:spacing w:line="360" w:lineRule="atLeast"/>
        <w:ind w:firstLine="470" w:firstLineChars="196"/>
        <w:jc w:val="left"/>
        <w:rPr>
          <w:rFonts w:hint="eastAsia" w:ascii="宋体"/>
          <w:sz w:val="24"/>
        </w:rPr>
      </w:pPr>
      <w:r>
        <w:rPr>
          <w:rFonts w:hint="eastAsia" w:ascii="宋体"/>
          <w:sz w:val="24"/>
        </w:rPr>
        <w:t>注：1. 供应商必须把磋商项目的全部技术参数列入此表。</w:t>
      </w:r>
    </w:p>
    <w:p w14:paraId="1B4885C8">
      <w:pPr>
        <w:spacing w:line="360" w:lineRule="atLeast"/>
        <w:ind w:firstLine="470" w:firstLineChars="196"/>
        <w:jc w:val="left"/>
        <w:rPr>
          <w:rFonts w:hint="eastAsia" w:ascii="宋体"/>
          <w:sz w:val="24"/>
        </w:rPr>
      </w:pPr>
      <w:r>
        <w:rPr>
          <w:rFonts w:hint="eastAsia" w:ascii="宋体"/>
          <w:sz w:val="24"/>
        </w:rPr>
        <w:t>2．按照磋商项目技术要求的顺序对应填写。</w:t>
      </w:r>
    </w:p>
    <w:p w14:paraId="6F2335B0">
      <w:pPr>
        <w:spacing w:line="360" w:lineRule="atLeast"/>
        <w:ind w:firstLine="470" w:firstLineChars="196"/>
        <w:jc w:val="left"/>
        <w:rPr>
          <w:rFonts w:hint="eastAsia"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hint="eastAsia" w:ascii="宋体"/>
          <w:sz w:val="24"/>
        </w:rPr>
      </w:pPr>
    </w:p>
    <w:p w14:paraId="26F31306">
      <w:pPr>
        <w:spacing w:line="360" w:lineRule="auto"/>
        <w:rPr>
          <w:rFonts w:ascii="宋体" w:hAnsi="宋体" w:cs="宋体"/>
          <w:sz w:val="24"/>
        </w:rPr>
      </w:pPr>
      <w:r>
        <w:rPr>
          <w:rFonts w:hint="eastAsia" w:ascii="宋体" w:hAnsi="宋体" w:cs="宋体"/>
          <w:sz w:val="24"/>
        </w:rPr>
        <w:t>供应商名称：XXX（盖单位公章）</w:t>
      </w:r>
    </w:p>
    <w:p w14:paraId="6A5B834F">
      <w:pPr>
        <w:spacing w:line="360" w:lineRule="auto"/>
        <w:rPr>
          <w:rFonts w:ascii="宋体" w:hAnsi="宋体" w:cs="宋体"/>
          <w:sz w:val="24"/>
        </w:rPr>
      </w:pPr>
      <w:r>
        <w:rPr>
          <w:rFonts w:hint="eastAsia" w:ascii="宋体" w:hAnsi="宋体" w:cs="宋体"/>
          <w:sz w:val="24"/>
        </w:rPr>
        <w:t>法定代表人或授权代表（签字）：XXX</w:t>
      </w:r>
    </w:p>
    <w:p w14:paraId="075CB922">
      <w:pPr>
        <w:spacing w:line="360" w:lineRule="auto"/>
        <w:rPr>
          <w:rFonts w:ascii="宋体" w:hAnsi="宋体" w:cs="宋体"/>
          <w:sz w:val="24"/>
        </w:rPr>
      </w:pPr>
      <w:r>
        <w:rPr>
          <w:rFonts w:hint="eastAsia" w:ascii="宋体" w:hAnsi="宋体" w:cs="宋体"/>
          <w:sz w:val="24"/>
        </w:rPr>
        <w:t>日      期：XXX</w:t>
      </w:r>
    </w:p>
    <w:p w14:paraId="11B7DDFF">
      <w:pPr>
        <w:spacing w:line="360" w:lineRule="atLeast"/>
        <w:ind w:firstLine="470" w:firstLineChars="196"/>
        <w:jc w:val="left"/>
        <w:rPr>
          <w:rFonts w:hint="eastAsia" w:ascii="宋体"/>
          <w:sz w:val="24"/>
        </w:rPr>
      </w:pPr>
    </w:p>
    <w:p w14:paraId="2AF994EF">
      <w:pPr>
        <w:rPr>
          <w:rFonts w:hint="eastAsia" w:ascii="黑体" w:hAnsi="黑体" w:eastAsia="黑体" w:cs="Arial"/>
          <w:bCs/>
          <w:color w:val="auto"/>
          <w:sz w:val="32"/>
          <w:szCs w:val="32"/>
          <w:highlight w:val="none"/>
          <w:lang w:eastAsia="zh-CN"/>
        </w:rPr>
      </w:pPr>
      <w:r>
        <w:rPr>
          <w:rFonts w:hint="eastAsia" w:ascii="黑体" w:hAnsi="黑体" w:eastAsia="黑体" w:cs="Arial"/>
          <w:bCs/>
          <w:color w:val="auto"/>
          <w:sz w:val="32"/>
          <w:szCs w:val="32"/>
          <w:highlight w:val="none"/>
          <w:lang w:eastAsia="zh-CN"/>
        </w:rPr>
        <w:br w:type="page"/>
      </w:r>
    </w:p>
    <w:p w14:paraId="202EF61A">
      <w:pPr>
        <w:pStyle w:val="2"/>
        <w:rPr>
          <w:rFonts w:hint="eastAsia"/>
          <w:lang w:eastAsia="zh-CN"/>
        </w:rPr>
      </w:pPr>
    </w:p>
    <w:p w14:paraId="52C2C3F6">
      <w:pPr>
        <w:spacing w:before="156" w:beforeLines="50" w:after="468" w:afterLines="150"/>
        <w:jc w:val="center"/>
        <w:outlineLvl w:val="1"/>
        <w:rPr>
          <w:rFonts w:hint="eastAsia" w:ascii="宋体" w:hAnsi="宋体"/>
          <w:b/>
          <w:bCs/>
          <w:color w:val="auto"/>
          <w:sz w:val="32"/>
          <w:szCs w:val="32"/>
          <w:highlight w:val="none"/>
        </w:rPr>
      </w:pPr>
      <w:r>
        <w:rPr>
          <w:rFonts w:hint="eastAsia" w:ascii="黑体" w:hAnsi="黑体" w:eastAsia="黑体" w:cs="Arial"/>
          <w:bCs/>
          <w:color w:val="auto"/>
          <w:sz w:val="32"/>
          <w:szCs w:val="32"/>
          <w:highlight w:val="none"/>
          <w:lang w:val="en-US" w:eastAsia="zh-CN"/>
        </w:rPr>
        <w:t>十一</w:t>
      </w:r>
      <w:r>
        <w:rPr>
          <w:rFonts w:hint="eastAsia" w:ascii="黑体" w:hAnsi="黑体" w:eastAsia="黑体" w:cs="Arial"/>
          <w:bCs/>
          <w:color w:val="auto"/>
          <w:sz w:val="32"/>
          <w:szCs w:val="32"/>
          <w:highlight w:val="none"/>
        </w:rPr>
        <w:t>、</w:t>
      </w:r>
      <w:bookmarkEnd w:id="129"/>
      <w:r>
        <w:rPr>
          <w:rFonts w:hint="eastAsia" w:ascii="黑体" w:hAnsi="黑体" w:eastAsia="黑体" w:cs="Arial"/>
          <w:bCs/>
          <w:color w:val="auto"/>
          <w:sz w:val="32"/>
          <w:szCs w:val="32"/>
          <w:highlight w:val="none"/>
        </w:rPr>
        <w:t>类似业绩表</w:t>
      </w:r>
      <w:bookmarkEnd w:id="130"/>
      <w:bookmarkEnd w:id="131"/>
      <w:bookmarkEnd w:id="132"/>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79167CE">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412D8F32">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A2A6E56">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6FFF89D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2F5CB964">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3529AC54">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21C62AA1">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25F259F8">
            <w:pPr>
              <w:spacing w:line="400" w:lineRule="exact"/>
              <w:jc w:val="center"/>
              <w:rPr>
                <w:rFonts w:ascii="宋体" w:hAnsi="宋体" w:cs="Arial"/>
                <w:color w:val="auto"/>
                <w:highlight w:val="none"/>
              </w:rPr>
            </w:pPr>
          </w:p>
        </w:tc>
        <w:tc>
          <w:tcPr>
            <w:tcW w:w="1439" w:type="dxa"/>
            <w:noWrap w:val="0"/>
            <w:vAlign w:val="center"/>
          </w:tcPr>
          <w:p w14:paraId="46A2D2F8">
            <w:pPr>
              <w:spacing w:line="400" w:lineRule="exact"/>
              <w:jc w:val="center"/>
              <w:rPr>
                <w:rFonts w:ascii="宋体" w:hAnsi="宋体" w:cs="Arial"/>
                <w:color w:val="auto"/>
                <w:highlight w:val="none"/>
              </w:rPr>
            </w:pPr>
          </w:p>
        </w:tc>
        <w:tc>
          <w:tcPr>
            <w:tcW w:w="1319" w:type="dxa"/>
            <w:noWrap w:val="0"/>
            <w:vAlign w:val="center"/>
          </w:tcPr>
          <w:p w14:paraId="572C2BEB">
            <w:pPr>
              <w:spacing w:line="400" w:lineRule="exact"/>
              <w:jc w:val="center"/>
              <w:rPr>
                <w:rFonts w:ascii="宋体" w:hAnsi="宋体" w:cs="Arial"/>
                <w:color w:val="auto"/>
                <w:highlight w:val="none"/>
              </w:rPr>
            </w:pPr>
          </w:p>
        </w:tc>
        <w:tc>
          <w:tcPr>
            <w:tcW w:w="1160" w:type="dxa"/>
            <w:noWrap w:val="0"/>
            <w:vAlign w:val="center"/>
          </w:tcPr>
          <w:p w14:paraId="427FFDA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7EFBA289">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19A3DAE">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49DF67E">
            <w:pPr>
              <w:spacing w:line="400" w:lineRule="exact"/>
              <w:jc w:val="center"/>
              <w:rPr>
                <w:rFonts w:ascii="宋体" w:hAnsi="宋体" w:cs="Arial"/>
                <w:color w:val="auto"/>
                <w:highlight w:val="none"/>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948DE2D">
            <w:pPr>
              <w:spacing w:line="400" w:lineRule="exact"/>
              <w:jc w:val="center"/>
              <w:rPr>
                <w:rFonts w:ascii="宋体" w:hAnsi="宋体" w:cs="Arial"/>
                <w:color w:val="auto"/>
                <w:highlight w:val="none"/>
              </w:rPr>
            </w:pPr>
          </w:p>
        </w:tc>
        <w:tc>
          <w:tcPr>
            <w:tcW w:w="1439" w:type="dxa"/>
            <w:noWrap w:val="0"/>
            <w:vAlign w:val="center"/>
          </w:tcPr>
          <w:p w14:paraId="2775623F">
            <w:pPr>
              <w:spacing w:line="400" w:lineRule="exact"/>
              <w:jc w:val="center"/>
              <w:rPr>
                <w:rFonts w:ascii="宋体" w:hAnsi="宋体" w:cs="Arial"/>
                <w:color w:val="auto"/>
                <w:highlight w:val="none"/>
              </w:rPr>
            </w:pPr>
          </w:p>
        </w:tc>
        <w:tc>
          <w:tcPr>
            <w:tcW w:w="1319" w:type="dxa"/>
            <w:noWrap w:val="0"/>
            <w:vAlign w:val="center"/>
          </w:tcPr>
          <w:p w14:paraId="4F06DD46">
            <w:pPr>
              <w:spacing w:line="400" w:lineRule="exact"/>
              <w:jc w:val="center"/>
              <w:rPr>
                <w:rFonts w:ascii="宋体" w:hAnsi="宋体" w:cs="Arial"/>
                <w:color w:val="auto"/>
                <w:highlight w:val="none"/>
              </w:rPr>
            </w:pPr>
          </w:p>
        </w:tc>
        <w:tc>
          <w:tcPr>
            <w:tcW w:w="1160" w:type="dxa"/>
            <w:noWrap w:val="0"/>
            <w:vAlign w:val="center"/>
          </w:tcPr>
          <w:p w14:paraId="2C05BC8A">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30195998">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5A8C91D4">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322F5F16">
            <w:pPr>
              <w:spacing w:line="400" w:lineRule="exact"/>
              <w:jc w:val="center"/>
              <w:rPr>
                <w:rFonts w:ascii="宋体" w:hAnsi="宋体" w:cs="Arial"/>
                <w:color w:val="auto"/>
                <w:highlight w:val="none"/>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F4C0B37">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4FD9628">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1EBCE89">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54CA1CBB">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9B073A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highlight w:val="none"/>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3ABBE73">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1671A28">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highlight w:val="none"/>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2A4C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454AEF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highlight w:val="none"/>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4F5556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DE8903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highlight w:val="none"/>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D5F6AF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653E1989">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0AE65F1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5F733A3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4DEE41DF">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highlight w:val="none"/>
              </w:rPr>
            </w:pPr>
          </w:p>
        </w:tc>
      </w:tr>
    </w:tbl>
    <w:p w14:paraId="2706076F">
      <w:pPr>
        <w:spacing w:line="360" w:lineRule="auto"/>
        <w:jc w:val="left"/>
        <w:rPr>
          <w:rFonts w:hint="eastAsia"/>
          <w:color w:val="auto"/>
          <w:sz w:val="24"/>
          <w:highlight w:val="none"/>
        </w:rPr>
      </w:pPr>
      <w:r>
        <w:rPr>
          <w:rFonts w:hint="eastAsia"/>
          <w:color w:val="auto"/>
          <w:sz w:val="24"/>
          <w:highlight w:val="none"/>
        </w:rPr>
        <w:t>注：</w:t>
      </w:r>
    </w:p>
    <w:p w14:paraId="42D6A7AE">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1.提供2023年9月1日至今已完成的类似项目业绩。</w:t>
      </w:r>
    </w:p>
    <w:p w14:paraId="591E6CAA">
      <w:pPr>
        <w:spacing w:line="360" w:lineRule="auto"/>
        <w:jc w:val="left"/>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color w:val="auto"/>
          <w:sz w:val="24"/>
          <w:highlight w:val="none"/>
        </w:rPr>
      </w:pPr>
    </w:p>
    <w:p w14:paraId="5925FB9B">
      <w:pPr>
        <w:jc w:val="left"/>
        <w:rPr>
          <w:rFonts w:hint="eastAsia" w:ascii="宋体" w:hAnsi="宋体" w:cs="Arial"/>
          <w:color w:val="auto"/>
          <w:highlight w:val="none"/>
        </w:rPr>
      </w:pPr>
    </w:p>
    <w:p w14:paraId="070327E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EC1B8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F6B791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494CA91">
      <w:pPr>
        <w:spacing w:before="156" w:beforeLines="50" w:after="468" w:afterLines="150"/>
        <w:jc w:val="center"/>
        <w:outlineLvl w:val="0"/>
        <w:rPr>
          <w:rFonts w:hint="eastAsia"/>
          <w:color w:val="auto"/>
          <w:highlight w:val="none"/>
        </w:rPr>
        <w:sectPr>
          <w:headerReference r:id="rId18" w:type="default"/>
          <w:footerReference r:id="rId19"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highlight w:val="none"/>
        </w:rPr>
        <w:br w:type="page"/>
      </w:r>
      <w:bookmarkStart w:id="133" w:name="_Toc5422"/>
      <w:bookmarkStart w:id="134" w:name="_Toc91771175"/>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135" w:name="_Toc17100"/>
      <w:bookmarkStart w:id="136" w:name="_Toc17857"/>
      <w:bookmarkStart w:id="137" w:name="_Toc15859"/>
      <w:bookmarkStart w:id="138" w:name="_Toc26306"/>
      <w:bookmarkStart w:id="139" w:name="_Toc11508"/>
      <w:bookmarkStart w:id="140" w:name="_Toc14957"/>
      <w:bookmarkStart w:id="141" w:name="_Toc23376"/>
      <w:bookmarkStart w:id="142" w:name="_Toc7243"/>
      <w:bookmarkStart w:id="143" w:name="_Toc21058"/>
      <w:bookmarkStart w:id="144" w:name="_Toc3945"/>
      <w:bookmarkStart w:id="145" w:name="_Toc8826"/>
      <w:bookmarkStart w:id="146" w:name="_Toc978"/>
      <w:bookmarkStart w:id="147" w:name="_Toc7325"/>
      <w:bookmarkStart w:id="148" w:name="_Toc6976"/>
      <w:bookmarkStart w:id="149" w:name="_Toc11600"/>
      <w:bookmarkStart w:id="150" w:name="_Toc11945"/>
      <w:r>
        <w:rPr>
          <w:rFonts w:hint="eastAsia" w:ascii="黑体" w:hAnsi="黑体" w:eastAsia="黑体" w:cs="Arial"/>
          <w:bCs/>
          <w:color w:val="auto"/>
          <w:kern w:val="2"/>
          <w:sz w:val="32"/>
          <w:szCs w:val="32"/>
          <w:lang w:val="en-US" w:eastAsia="zh-CN" w:bidi="ar-SA"/>
        </w:rPr>
        <w:t>十二、</w:t>
      </w:r>
      <w:r>
        <w:rPr>
          <w:rFonts w:hint="eastAsia" w:ascii="黑体" w:hAnsi="黑体" w:eastAsia="黑体" w:cs="Arial"/>
          <w:bCs/>
          <w:color w:val="auto"/>
          <w:sz w:val="32"/>
          <w:szCs w:val="32"/>
          <w:highlight w:val="none"/>
          <w:lang w:val="en-US" w:eastAsia="zh-CN"/>
        </w:rPr>
        <w:t>服务方案</w:t>
      </w:r>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黑体" w:hAnsi="黑体" w:eastAsia="黑体" w:cs="Arial"/>
          <w:bCs/>
          <w:color w:val="auto"/>
          <w:sz w:val="32"/>
          <w:szCs w:val="32"/>
          <w:highlight w:val="none"/>
          <w:lang w:val="en-US" w:eastAsia="zh-CN"/>
        </w:rPr>
        <w:t>（格式自拟）</w:t>
      </w:r>
      <w:bookmarkEnd w:id="148"/>
      <w:bookmarkEnd w:id="149"/>
      <w:bookmarkEnd w:id="150"/>
    </w:p>
    <w:p w14:paraId="681B4F2B">
      <w:pPr>
        <w:spacing w:line="320" w:lineRule="exact"/>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包含：</w:t>
      </w:r>
      <w:r>
        <w:rPr>
          <w:rFonts w:hint="eastAsia" w:ascii="宋体" w:hAnsi="宋体"/>
          <w:sz w:val="24"/>
          <w:lang w:val="en-US" w:eastAsia="zh-CN"/>
        </w:rPr>
        <w:t>1.</w:t>
      </w:r>
      <w:r>
        <w:rPr>
          <w:rFonts w:hint="eastAsia" w:ascii="宋体" w:hAnsi="宋体"/>
          <w:sz w:val="24"/>
        </w:rPr>
        <w:t>项目进度计划</w:t>
      </w: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质量保障措施</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rPr>
        <w:t>安装调试</w:t>
      </w: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rPr>
        <w:t>信息安全</w:t>
      </w: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rPr>
        <w:t>售后服方案</w:t>
      </w:r>
      <w:r>
        <w:rPr>
          <w:rFonts w:hint="eastAsia" w:ascii="宋体" w:hAnsi="宋体"/>
          <w:sz w:val="24"/>
          <w:lang w:val="en-US" w:eastAsia="zh-CN"/>
        </w:rPr>
        <w:t>等</w:t>
      </w:r>
      <w:r>
        <w:rPr>
          <w:rFonts w:hint="eastAsia" w:ascii="宋体" w:hAnsi="宋体"/>
          <w:sz w:val="24"/>
        </w:rPr>
        <w:t>。</w:t>
      </w:r>
    </w:p>
    <w:p w14:paraId="63A76E4E">
      <w:pPr>
        <w:spacing w:line="360" w:lineRule="auto"/>
        <w:jc w:val="left"/>
        <w:rPr>
          <w:rFonts w:hint="eastAsia"/>
          <w:color w:val="auto"/>
          <w:sz w:val="24"/>
          <w:highlight w:val="none"/>
          <w:lang w:val="en-US" w:eastAsia="zh-CN"/>
        </w:rPr>
      </w:pPr>
    </w:p>
    <w:p w14:paraId="0831A8E2">
      <w:pPr>
        <w:spacing w:line="360" w:lineRule="auto"/>
        <w:jc w:val="left"/>
        <w:rPr>
          <w:rFonts w:hint="eastAsia"/>
          <w:color w:val="auto"/>
          <w:sz w:val="24"/>
          <w:highlight w:val="none"/>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30"/>
          <w:rFonts w:hint="eastAsia" w:eastAsia="黑体"/>
          <w:color w:val="auto"/>
          <w:highlight w:val="none"/>
          <w:lang w:eastAsia="zh-CN"/>
        </w:rPr>
      </w:pPr>
      <w:bookmarkStart w:id="151" w:name="_Toc30439"/>
      <w:r>
        <w:rPr>
          <w:rFonts w:hint="eastAsia" w:ascii="黑体" w:hAnsi="黑体" w:eastAsia="黑体"/>
          <w:color w:val="auto"/>
          <w:sz w:val="36"/>
          <w:highlight w:val="none"/>
        </w:rPr>
        <w:t>第五章 保证金退还申请书</w:t>
      </w:r>
      <w:bookmarkEnd w:id="127"/>
      <w:bookmarkEnd w:id="133"/>
      <w:bookmarkEnd w:id="134"/>
      <w:bookmarkEnd w:id="151"/>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如有</w:t>
      </w:r>
      <w:r>
        <w:rPr>
          <w:rFonts w:hint="eastAsia" w:ascii="黑体" w:hAnsi="黑体" w:eastAsia="黑体"/>
          <w:color w:val="auto"/>
          <w:sz w:val="36"/>
          <w:highlight w:val="none"/>
          <w:lang w:eastAsia="zh-CN"/>
        </w:rPr>
        <w:t>）</w:t>
      </w:r>
    </w:p>
    <w:p w14:paraId="47CDBFA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7864FF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14:paraId="0AF998D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3376B5C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9F2E48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11B9BAA">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highlight w:val="none"/>
        </w:rPr>
      </w:pPr>
    </w:p>
    <w:p w14:paraId="0C530A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0ADBCE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3C7FE93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E0C896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F490348">
      <w:pPr>
        <w:adjustRightInd w:val="0"/>
        <w:snapToGrid w:val="0"/>
        <w:spacing w:line="360" w:lineRule="auto"/>
        <w:jc w:val="left"/>
        <w:rPr>
          <w:rFonts w:hint="eastAsia"/>
          <w:color w:val="auto"/>
          <w:sz w:val="28"/>
          <w:szCs w:val="28"/>
          <w:highlight w:val="none"/>
        </w:rPr>
      </w:pPr>
    </w:p>
    <w:p w14:paraId="17514511">
      <w:pPr>
        <w:adjustRightInd w:val="0"/>
        <w:snapToGrid w:val="0"/>
        <w:spacing w:line="360" w:lineRule="auto"/>
        <w:jc w:val="left"/>
        <w:rPr>
          <w:rFonts w:hint="eastAsia"/>
          <w:color w:val="auto"/>
          <w:sz w:val="28"/>
          <w:szCs w:val="28"/>
          <w:highlight w:val="none"/>
        </w:rPr>
      </w:pPr>
    </w:p>
    <w:p w14:paraId="6109D067">
      <w:pPr>
        <w:adjustRightInd w:val="0"/>
        <w:snapToGrid w:val="0"/>
        <w:spacing w:line="360" w:lineRule="auto"/>
        <w:jc w:val="left"/>
        <w:rPr>
          <w:rFonts w:hint="eastAsia"/>
          <w:color w:val="auto"/>
          <w:sz w:val="28"/>
          <w:szCs w:val="28"/>
          <w:highlight w:val="none"/>
        </w:rPr>
      </w:pPr>
    </w:p>
    <w:p w14:paraId="5E619819">
      <w:pPr>
        <w:pStyle w:val="2"/>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保证金（银行保函形式提交的除外）。</w:t>
      </w:r>
    </w:p>
    <w:p w14:paraId="2C25DCE8">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928339F">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14:paraId="700CBD14">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ermEnd w:id="67"/>
    <w:p w14:paraId="3F012E1D">
      <w:pPr>
        <w:spacing w:before="156" w:beforeLines="50" w:after="468" w:afterLines="150"/>
        <w:jc w:val="center"/>
        <w:outlineLvl w:val="0"/>
        <w:rPr>
          <w:rStyle w:val="30"/>
          <w:rFonts w:hint="eastAsia" w:eastAsia="黑体"/>
          <w:color w:val="auto"/>
          <w:highlight w:val="none"/>
        </w:rPr>
      </w:pPr>
      <w:r>
        <w:rPr>
          <w:rFonts w:hint="eastAsia"/>
          <w:color w:val="auto"/>
          <w:highlight w:val="none"/>
        </w:rPr>
        <w:br w:type="page"/>
      </w:r>
      <w:bookmarkStart w:id="152" w:name="_Toc15778"/>
      <w:bookmarkStart w:id="153" w:name="_Toc6652"/>
      <w:bookmarkStart w:id="154"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52"/>
      <w:bookmarkEnd w:id="153"/>
      <w:bookmarkEnd w:id="154"/>
    </w:p>
    <w:p w14:paraId="2F04C4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highlight w:val="none"/>
        </w:rPr>
      </w:pPr>
      <w:bookmarkStart w:id="155" w:name="_Toc91771177"/>
      <w:bookmarkStart w:id="156" w:name="_Toc17987"/>
      <w:bookmarkStart w:id="157" w:name="_Toc32464"/>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155"/>
      <w:bookmarkEnd w:id="156"/>
      <w:bookmarkEnd w:id="157"/>
    </w:p>
    <w:p w14:paraId="07E40A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w:t>
      </w:r>
      <w:r>
        <w:rPr>
          <w:rFonts w:hint="eastAsia" w:ascii="宋体" w:hAnsi="宋体"/>
          <w:bCs/>
          <w:color w:val="auto"/>
          <w:sz w:val="24"/>
          <w:highlight w:val="none"/>
        </w:rPr>
        <w:t>密封性检查。</w:t>
      </w:r>
    </w:p>
    <w:p w14:paraId="19EFE4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val="en-US" w:eastAsia="zh-CN"/>
        </w:rPr>
        <w:t>.</w:t>
      </w:r>
      <w:r>
        <w:rPr>
          <w:rFonts w:hint="eastAsia" w:ascii="宋体" w:hAnsi="宋体"/>
          <w:bCs/>
          <w:color w:val="auto"/>
          <w:sz w:val="24"/>
          <w:highlight w:val="none"/>
        </w:rPr>
        <w:t>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w:t>
      </w:r>
    </w:p>
    <w:p w14:paraId="67B127A4">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资格性检查。</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小组应依据法律法规和</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的供应商等进行审查，以确定供应商是否具备</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资格。资格性审查结束后，没有通过资格审查的供应商，</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lang w:eastAsia="zh-CN"/>
        </w:rPr>
        <w:t>符合</w:t>
      </w:r>
      <w:r>
        <w:rPr>
          <w:rFonts w:hint="eastAsia" w:ascii="宋体" w:hAnsi="宋体" w:eastAsia="宋体" w:cs="宋体"/>
          <w:color w:val="auto"/>
          <w:sz w:val="24"/>
          <w:szCs w:val="24"/>
          <w:highlight w:val="none"/>
        </w:rPr>
        <w:t>性检查。</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文件规定的实质性要求，对符合资格的响应文件进行有效性、完整性和响应程度</w:t>
      </w:r>
      <w:r>
        <w:rPr>
          <w:rFonts w:hint="eastAsia" w:ascii="宋体" w:hAnsi="宋体" w:cs="宋体"/>
          <w:color w:val="auto"/>
          <w:sz w:val="24"/>
          <w:szCs w:val="24"/>
          <w:highlight w:val="none"/>
          <w:lang w:eastAsia="zh-CN"/>
        </w:rPr>
        <w:t>进行</w:t>
      </w:r>
      <w:r>
        <w:rPr>
          <w:rFonts w:hint="eastAsia" w:ascii="宋体" w:hAnsi="宋体" w:eastAsia="宋体" w:cs="宋体"/>
          <w:color w:val="auto"/>
          <w:sz w:val="24"/>
          <w:szCs w:val="24"/>
          <w:highlight w:val="none"/>
        </w:rPr>
        <w:t>审查，以确定参加</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采购人宣布未通过资格性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审查的供应商不足3家的，终止本次采购活动，并发布终止采购活动公告。</w:t>
      </w:r>
    </w:p>
    <w:p w14:paraId="4D2A921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w:t>
      </w:r>
      <w:r>
        <w:rPr>
          <w:rFonts w:hint="eastAsia" w:ascii="宋体" w:hAnsi="宋体"/>
          <w:bCs/>
          <w:color w:val="auto"/>
          <w:sz w:val="24"/>
          <w:highlight w:val="none"/>
          <w:lang w:val="en-US" w:eastAsia="zh-CN"/>
        </w:rPr>
        <w:t>.</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比较与评价。由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小组采用综合评分法对</w:t>
      </w:r>
      <w:r>
        <w:rPr>
          <w:rFonts w:hint="eastAsia" w:ascii="宋体" w:hAnsi="宋体" w:eastAsia="宋体" w:cs="宋体"/>
          <w:color w:val="auto"/>
          <w:sz w:val="24"/>
          <w:szCs w:val="24"/>
          <w:highlight w:val="none"/>
          <w:lang w:eastAsia="zh-CN"/>
        </w:rPr>
        <w:t>有效供应商</w:t>
      </w:r>
      <w:r>
        <w:rPr>
          <w:rFonts w:hint="eastAsia" w:ascii="宋体" w:hAnsi="宋体" w:eastAsia="宋体" w:cs="宋体"/>
          <w:color w:val="auto"/>
          <w:sz w:val="24"/>
          <w:szCs w:val="24"/>
          <w:highlight w:val="none"/>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推荐成交候选供应商。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小组复核。</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小组评分汇总结束后，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cs="宋体"/>
          <w:color w:val="auto"/>
          <w:sz w:val="24"/>
          <w:szCs w:val="24"/>
          <w:highlight w:val="none"/>
          <w:lang w:eastAsia="zh-CN"/>
        </w:rPr>
        <w:t>低于成本评审未通过的</w:t>
      </w:r>
      <w:r>
        <w:rPr>
          <w:rFonts w:hint="eastAsia" w:ascii="宋体" w:hAnsi="宋体" w:eastAsia="宋体" w:cs="宋体"/>
          <w:color w:val="auto"/>
          <w:sz w:val="24"/>
          <w:szCs w:val="24"/>
          <w:highlight w:val="none"/>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小组推荐成交候选供应商后，应出具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文件的供应商名单和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小组全体人员签字认可。</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小组书面记录相关情况。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p>
    <w:p w14:paraId="558CA1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异议处理规则。在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小组成员对响应文件是否符合</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文件规定。有不同意见的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文件规定的，应当在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报告中予以反映。</w:t>
      </w:r>
    </w:p>
    <w:p w14:paraId="596EA5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11.</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4F8F5C2">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12.成交供应商领取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2F9E062E">
      <w:pPr>
        <w:adjustRightInd w:val="0"/>
        <w:snapToGrid w:val="0"/>
        <w:spacing w:line="360" w:lineRule="auto"/>
        <w:ind w:firstLine="482" w:firstLineChars="200"/>
        <w:outlineLvl w:val="1"/>
        <w:rPr>
          <w:rFonts w:hint="eastAsia" w:ascii="宋体" w:hAnsi="宋体"/>
          <w:b/>
          <w:bCs/>
          <w:color w:val="auto"/>
          <w:sz w:val="24"/>
          <w:highlight w:val="none"/>
        </w:rPr>
      </w:pPr>
      <w:bookmarkStart w:id="158" w:name="_Toc91771178"/>
      <w:bookmarkStart w:id="159" w:name="_Toc9737"/>
      <w:bookmarkStart w:id="160" w:name="_Toc29972"/>
      <w:r>
        <w:rPr>
          <w:rFonts w:hint="eastAsia" w:ascii="宋体" w:hAnsi="宋体"/>
          <w:b/>
          <w:bCs/>
          <w:color w:val="auto"/>
          <w:sz w:val="24"/>
          <w:highlight w:val="none"/>
        </w:rPr>
        <w:t>二、评审标准</w:t>
      </w:r>
      <w:bookmarkEnd w:id="158"/>
      <w:bookmarkEnd w:id="159"/>
      <w:bookmarkEnd w:id="160"/>
    </w:p>
    <w:p w14:paraId="38E93A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w:t>
      </w:r>
      <w:r>
        <w:rPr>
          <w:rFonts w:hint="eastAsia"/>
          <w:color w:val="auto"/>
          <w:sz w:val="24"/>
          <w:highlight w:val="none"/>
        </w:rPr>
        <w:t>中的算术错误修正方法</w:t>
      </w:r>
      <w:r>
        <w:rPr>
          <w:rFonts w:hint="eastAsia" w:ascii="宋体" w:hAnsi="宋体"/>
          <w:bCs/>
          <w:color w:val="auto"/>
          <w:sz w:val="24"/>
          <w:highlight w:val="none"/>
        </w:rPr>
        <w:t>。</w:t>
      </w:r>
    </w:p>
    <w:p w14:paraId="1B4398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w:t>
      </w:r>
      <w:r>
        <w:rPr>
          <w:rFonts w:hint="eastAsia" w:ascii="宋体" w:hAnsi="宋体"/>
          <w:bCs/>
          <w:color w:val="auto"/>
          <w:sz w:val="24"/>
          <w:highlight w:val="none"/>
          <w:lang w:eastAsia="zh-CN"/>
        </w:rPr>
        <w:t>性</w:t>
      </w:r>
      <w:r>
        <w:rPr>
          <w:rFonts w:hint="eastAsia" w:ascii="宋体" w:hAnsi="宋体"/>
          <w:bCs/>
          <w:color w:val="auto"/>
          <w:sz w:val="24"/>
          <w:highlight w:val="none"/>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符合性审查过程中，</w:t>
      </w:r>
      <w:r>
        <w:rPr>
          <w:rFonts w:hint="eastAsia" w:ascii="宋体" w:hAnsi="宋体"/>
          <w:bCs/>
          <w:color w:val="auto"/>
          <w:sz w:val="24"/>
          <w:highlight w:val="none"/>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14:paraId="71B5CD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.1</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14:paraId="7515FA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出现影响采购公正的违法、违规行为的；</w:t>
      </w:r>
    </w:p>
    <w:p w14:paraId="5D4F3EF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在采购过程中符合竞争要求的供应商或者报价未超过采购预算的供应商不足3家的。</w:t>
      </w:r>
    </w:p>
    <w:bookmarkEnd w:id="47"/>
    <w:bookmarkEnd w:id="48"/>
    <w:bookmarkEnd w:id="49"/>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highlight w:val="none"/>
        </w:rPr>
      </w:pPr>
      <w:bookmarkStart w:id="161" w:name="_Toc10585"/>
      <w:bookmarkStart w:id="162" w:name="_Toc217446059"/>
      <w:bookmarkStart w:id="163" w:name="_Toc217446099"/>
      <w:r>
        <w:rPr>
          <w:rFonts w:hint="eastAsia" w:ascii="宋体" w:hAnsi="宋体"/>
          <w:b/>
          <w:bCs/>
          <w:color w:val="auto"/>
          <w:sz w:val="24"/>
          <w:highlight w:val="none"/>
          <w:lang w:eastAsia="zh-CN"/>
        </w:rPr>
        <w:t>三、</w:t>
      </w:r>
      <w:r>
        <w:rPr>
          <w:rFonts w:hint="eastAsia" w:ascii="宋体" w:hAnsi="宋体"/>
          <w:b/>
          <w:bCs/>
          <w:color w:val="auto"/>
          <w:sz w:val="24"/>
          <w:highlight w:val="none"/>
        </w:rPr>
        <w:t>综合评分</w:t>
      </w:r>
      <w:bookmarkEnd w:id="161"/>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除价格因素外，</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小组成员独立评分。财务状况及其他经济类评分因素由抽取的经济方面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小组成员独立评分。采购合同主要条款及其他政策合同类的评分因素由抽取的法律方面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小组成员共同评分。</w:t>
      </w:r>
    </w:p>
    <w:p w14:paraId="20ECB7E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综合评分明细表</w:t>
      </w:r>
    </w:p>
    <w:p w14:paraId="5EC2EFA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3.1综合评分明细表的制定以科学合理、降低评委会自由裁量权为原则。</w:t>
      </w:r>
    </w:p>
    <w:p w14:paraId="354ECE8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综合评分明细表</w:t>
      </w:r>
    </w:p>
    <w:tbl>
      <w:tblPr>
        <w:tblStyle w:val="18"/>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49"/>
        <w:gridCol w:w="733"/>
        <w:gridCol w:w="4823"/>
        <w:gridCol w:w="1492"/>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5"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highlight w:val="none"/>
              </w:rPr>
            </w:pPr>
            <w:permStart w:id="68" w:edGrp="everyone"/>
            <w:r>
              <w:rPr>
                <w:rFonts w:hint="eastAsia" w:ascii="宋体" w:hAnsi="宋体" w:eastAsia="宋体" w:cs="宋体"/>
                <w:color w:val="auto"/>
                <w:sz w:val="24"/>
                <w:szCs w:val="24"/>
                <w:highlight w:val="none"/>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w:t>
            </w:r>
          </w:p>
          <w:p w14:paraId="02DD88E1">
            <w:pPr>
              <w:spacing w:line="360" w:lineRule="auto"/>
              <w:ind w:left="-3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2830"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875"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5" w:type="pct"/>
            <w:tcBorders>
              <w:tl2br w:val="nil"/>
              <w:tr2bl w:val="nil"/>
            </w:tcBorders>
            <w:noWrap w:val="0"/>
            <w:vAlign w:val="center"/>
          </w:tcPr>
          <w:p w14:paraId="54BA4D94">
            <w:pPr>
              <w:spacing w:line="360" w:lineRule="auto"/>
              <w:ind w:firstLine="28" w:firstLineChars="0"/>
              <w:jc w:val="center"/>
              <w:rPr>
                <w:rFonts w:hint="eastAsia" w:ascii="宋体" w:hAnsi="宋体" w:eastAsia="宋体" w:cs="宋体"/>
                <w:color w:val="auto"/>
                <w:sz w:val="24"/>
                <w:szCs w:val="24"/>
                <w:highlight w:val="none"/>
              </w:rPr>
            </w:pPr>
            <w:r>
              <w:rPr>
                <w:rFonts w:hint="eastAsia" w:ascii="宋体" w:hAnsi="宋体" w:cs="宋体"/>
                <w:sz w:val="24"/>
                <w:szCs w:val="24"/>
              </w:rPr>
              <w:t>1</w:t>
            </w:r>
          </w:p>
        </w:tc>
        <w:tc>
          <w:tcPr>
            <w:tcW w:w="498" w:type="pct"/>
            <w:tcBorders>
              <w:tl2br w:val="nil"/>
              <w:tr2bl w:val="nil"/>
            </w:tcBorders>
            <w:noWrap w:val="0"/>
            <w:vAlign w:val="center"/>
          </w:tcPr>
          <w:p w14:paraId="4A1D6C37">
            <w:pPr>
              <w:spacing w:line="320" w:lineRule="exact"/>
              <w:jc w:val="center"/>
              <w:rPr>
                <w:rFonts w:hint="eastAsia" w:ascii="宋体" w:hAnsi="宋体" w:eastAsia="宋体" w:cs="宋体"/>
                <w:color w:val="auto"/>
                <w:sz w:val="24"/>
                <w:szCs w:val="24"/>
                <w:highlight w:val="none"/>
              </w:rPr>
            </w:pPr>
            <w:r>
              <w:rPr>
                <w:rFonts w:hint="eastAsia" w:ascii="宋体" w:hAnsi="宋体"/>
                <w:sz w:val="24"/>
              </w:rPr>
              <w:t>报价</w:t>
            </w:r>
            <w:r>
              <w:rPr>
                <w:rFonts w:hint="eastAsia" w:ascii="宋体" w:hAnsi="宋体"/>
                <w:sz w:val="24"/>
                <w:lang w:val="en-US" w:eastAsia="zh-CN"/>
              </w:rPr>
              <w:t>45</w:t>
            </w:r>
            <w:r>
              <w:rPr>
                <w:rFonts w:hint="eastAsia" w:ascii="宋体" w:hAnsi="宋体"/>
                <w:sz w:val="24"/>
              </w:rPr>
              <w:t>%</w:t>
            </w:r>
          </w:p>
        </w:tc>
        <w:tc>
          <w:tcPr>
            <w:tcW w:w="430" w:type="pct"/>
            <w:tcBorders>
              <w:tl2br w:val="nil"/>
              <w:tr2bl w:val="nil"/>
            </w:tcBorders>
            <w:noWrap w:val="0"/>
            <w:vAlign w:val="center"/>
          </w:tcPr>
          <w:p w14:paraId="3C32F68E">
            <w:pPr>
              <w:spacing w:line="320" w:lineRule="exact"/>
              <w:jc w:val="center"/>
              <w:rPr>
                <w:rFonts w:hint="eastAsia" w:ascii="宋体" w:hAnsi="宋体" w:eastAsia="宋体" w:cs="宋体"/>
                <w:color w:val="auto"/>
                <w:sz w:val="24"/>
                <w:szCs w:val="24"/>
                <w:highlight w:val="none"/>
              </w:rPr>
            </w:pPr>
            <w:r>
              <w:rPr>
                <w:rFonts w:hint="eastAsia" w:ascii="宋体" w:hAnsi="宋体"/>
                <w:sz w:val="24"/>
                <w:lang w:val="en-US" w:eastAsia="zh-CN"/>
              </w:rPr>
              <w:t>45</w:t>
            </w:r>
            <w:r>
              <w:rPr>
                <w:rFonts w:hint="eastAsia" w:ascii="宋体" w:hAnsi="宋体"/>
                <w:sz w:val="24"/>
              </w:rPr>
              <w:t>分</w:t>
            </w:r>
          </w:p>
        </w:tc>
        <w:tc>
          <w:tcPr>
            <w:tcW w:w="2830" w:type="pct"/>
            <w:tcBorders>
              <w:tl2br w:val="nil"/>
              <w:tr2bl w:val="nil"/>
            </w:tcBorders>
            <w:noWrap w:val="0"/>
            <w:vAlign w:val="center"/>
          </w:tcPr>
          <w:p w14:paraId="335C026D">
            <w:pPr>
              <w:spacing w:line="320" w:lineRule="exact"/>
              <w:jc w:val="left"/>
              <w:rPr>
                <w:rFonts w:ascii="宋体" w:hAnsi="宋体"/>
                <w:sz w:val="24"/>
              </w:rPr>
            </w:pPr>
            <w:r>
              <w:rPr>
                <w:rFonts w:hint="eastAsia" w:ascii="宋体" w:hAnsi="宋体"/>
                <w:sz w:val="24"/>
              </w:rPr>
              <w:t>1、满足招标文件要求且投标价格最低的投标报价为评标基准价，其报价分为满分。</w:t>
            </w:r>
          </w:p>
          <w:p w14:paraId="42EB28E1">
            <w:pPr>
              <w:spacing w:line="3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sz w:val="24"/>
              </w:rPr>
              <w:t>2、其他投标人的价格分别统一按照下列公式计算：投标报价得分=(评标基准价÷投标报价)×</w:t>
            </w:r>
            <w:r>
              <w:rPr>
                <w:rFonts w:hint="eastAsia" w:ascii="宋体" w:hAnsi="宋体"/>
                <w:sz w:val="24"/>
                <w:lang w:val="en-US" w:eastAsia="zh-CN"/>
              </w:rPr>
              <w:t>45</w:t>
            </w:r>
            <w:r>
              <w:rPr>
                <w:rFonts w:hint="eastAsia" w:ascii="宋体" w:hAnsi="宋体"/>
                <w:sz w:val="24"/>
              </w:rPr>
              <w:t>×100%。</w:t>
            </w:r>
          </w:p>
        </w:tc>
        <w:tc>
          <w:tcPr>
            <w:tcW w:w="875" w:type="pct"/>
            <w:tcBorders>
              <w:tl2br w:val="nil"/>
              <w:tr2bl w:val="nil"/>
            </w:tcBorders>
            <w:noWrap w:val="0"/>
            <w:vAlign w:val="center"/>
          </w:tcPr>
          <w:p w14:paraId="41C4E69E">
            <w:pPr>
              <w:spacing w:line="360" w:lineRule="auto"/>
              <w:jc w:val="center"/>
              <w:rPr>
                <w:rFonts w:hint="eastAsia" w:ascii="宋体" w:hAnsi="宋体" w:eastAsia="宋体" w:cs="宋体"/>
                <w:color w:val="auto"/>
                <w:kern w:val="2"/>
                <w:sz w:val="24"/>
                <w:szCs w:val="24"/>
                <w:highlight w:val="none"/>
                <w:lang w:val="en-US" w:eastAsia="zh-CN" w:bidi="ar-SA"/>
              </w:rPr>
            </w:pPr>
          </w:p>
        </w:tc>
      </w:tr>
      <w:tr w14:paraId="5C4E0C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5" w:type="pct"/>
            <w:tcBorders>
              <w:tl2br w:val="nil"/>
              <w:tr2bl w:val="nil"/>
            </w:tcBorders>
            <w:noWrap w:val="0"/>
            <w:vAlign w:val="center"/>
          </w:tcPr>
          <w:p w14:paraId="46F2E568">
            <w:pPr>
              <w:spacing w:line="360" w:lineRule="auto"/>
              <w:ind w:firstLine="28"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98" w:type="pct"/>
            <w:tcBorders>
              <w:tl2br w:val="nil"/>
              <w:tr2bl w:val="nil"/>
            </w:tcBorders>
            <w:noWrap w:val="0"/>
            <w:vAlign w:val="center"/>
          </w:tcPr>
          <w:p w14:paraId="498EF195">
            <w:pPr>
              <w:spacing w:line="3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类似业绩15%</w:t>
            </w:r>
          </w:p>
        </w:tc>
        <w:tc>
          <w:tcPr>
            <w:tcW w:w="430" w:type="pct"/>
            <w:tcBorders>
              <w:tl2br w:val="nil"/>
              <w:tr2bl w:val="nil"/>
            </w:tcBorders>
            <w:noWrap w:val="0"/>
            <w:vAlign w:val="center"/>
          </w:tcPr>
          <w:p w14:paraId="4841823E">
            <w:pPr>
              <w:spacing w:line="320" w:lineRule="exact"/>
              <w:jc w:val="center"/>
              <w:rPr>
                <w:rFonts w:hint="default" w:ascii="宋体" w:hAnsi="宋体"/>
                <w:sz w:val="24"/>
                <w:lang w:val="en-US" w:eastAsia="zh-CN"/>
              </w:rPr>
            </w:pPr>
            <w:r>
              <w:rPr>
                <w:rFonts w:hint="eastAsia" w:ascii="宋体" w:hAnsi="宋体"/>
                <w:sz w:val="24"/>
                <w:lang w:val="en-US" w:eastAsia="zh-CN"/>
              </w:rPr>
              <w:t>15分</w:t>
            </w:r>
          </w:p>
        </w:tc>
        <w:tc>
          <w:tcPr>
            <w:tcW w:w="2830" w:type="pct"/>
            <w:tcBorders>
              <w:tl2br w:val="nil"/>
              <w:tr2bl w:val="nil"/>
            </w:tcBorders>
            <w:noWrap w:val="0"/>
            <w:vAlign w:val="center"/>
          </w:tcPr>
          <w:p w14:paraId="2D4EA3E8">
            <w:pPr>
              <w:spacing w:line="320" w:lineRule="exact"/>
              <w:jc w:val="left"/>
              <w:rPr>
                <w:rFonts w:hint="eastAsia"/>
                <w:sz w:val="24"/>
                <w:lang w:val="en-US" w:eastAsia="zh-CN"/>
              </w:rPr>
            </w:pPr>
            <w:r>
              <w:rPr>
                <w:rFonts w:hint="eastAsia"/>
                <w:sz w:val="24"/>
                <w:lang w:val="en-US" w:eastAsia="zh-CN"/>
              </w:rPr>
              <w:t>每提供一个2023年9月1日至今已完成的类似项目业绩，得5分，本项满分15分。</w:t>
            </w:r>
          </w:p>
          <w:p w14:paraId="2924AC3B">
            <w:pPr>
              <w:rPr>
                <w:rFonts w:hint="eastAsia"/>
                <w:sz w:val="24"/>
                <w:lang w:val="en-US" w:eastAsia="zh-CN"/>
              </w:rPr>
            </w:pPr>
          </w:p>
          <w:p w14:paraId="4D4F1337">
            <w:pPr>
              <w:rPr>
                <w:rFonts w:hint="eastAsia"/>
                <w:sz w:val="24"/>
                <w:lang w:val="en-US" w:eastAsia="zh-CN"/>
              </w:rPr>
            </w:pPr>
            <w:r>
              <w:rPr>
                <w:rFonts w:hint="eastAsia"/>
                <w:sz w:val="24"/>
                <w:lang w:val="en-US" w:eastAsia="zh-CN"/>
              </w:rPr>
              <w:t>注：1.以上业绩需提供业绩证明材料，包括：合同复印件、合同验收合格证明（或用户单位书面证明），提供复印件并加盖公章。</w:t>
            </w:r>
          </w:p>
          <w:p w14:paraId="7D065DD0">
            <w:pPr>
              <w:pStyle w:val="2"/>
              <w:rPr>
                <w:rFonts w:hint="default"/>
                <w:lang w:val="en-US"/>
              </w:rPr>
            </w:pPr>
            <w:r>
              <w:rPr>
                <w:rFonts w:hint="eastAsia"/>
                <w:sz w:val="24"/>
                <w:lang w:val="en-US" w:eastAsia="zh-CN"/>
              </w:rPr>
              <w:t>2.类似业绩是指监控或摄像设备供货及安装业绩。</w:t>
            </w:r>
          </w:p>
        </w:tc>
        <w:tc>
          <w:tcPr>
            <w:tcW w:w="875" w:type="pct"/>
            <w:tcBorders>
              <w:tl2br w:val="nil"/>
              <w:tr2bl w:val="nil"/>
            </w:tcBorders>
            <w:noWrap w:val="0"/>
            <w:vAlign w:val="center"/>
          </w:tcPr>
          <w:p w14:paraId="0447A989">
            <w:pPr>
              <w:spacing w:line="360" w:lineRule="auto"/>
              <w:jc w:val="center"/>
              <w:rPr>
                <w:rFonts w:hint="eastAsia" w:ascii="宋体" w:hAnsi="宋体" w:eastAsia="宋体" w:cs="宋体"/>
                <w:color w:val="auto"/>
                <w:kern w:val="2"/>
                <w:sz w:val="24"/>
                <w:szCs w:val="24"/>
                <w:highlight w:val="none"/>
                <w:lang w:val="en-US" w:eastAsia="zh-CN" w:bidi="ar-SA"/>
              </w:rPr>
            </w:pP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5" w:type="pct"/>
            <w:tcBorders>
              <w:tl2br w:val="nil"/>
              <w:tr2bl w:val="nil"/>
            </w:tcBorders>
            <w:noWrap w:val="0"/>
            <w:vAlign w:val="center"/>
          </w:tcPr>
          <w:p w14:paraId="30210C03">
            <w:pPr>
              <w:spacing w:line="360" w:lineRule="auto"/>
              <w:ind w:firstLine="28" w:firstLineChars="0"/>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498" w:type="pct"/>
            <w:tcBorders>
              <w:tl2br w:val="nil"/>
              <w:tr2bl w:val="nil"/>
            </w:tcBorders>
            <w:noWrap w:val="0"/>
            <w:vAlign w:val="center"/>
          </w:tcPr>
          <w:p w14:paraId="13B60585">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sz w:val="24"/>
              </w:rPr>
              <w:t>实施方案</w:t>
            </w:r>
            <w:r>
              <w:rPr>
                <w:rFonts w:hint="eastAsia" w:ascii="宋体" w:hAnsi="宋体"/>
                <w:sz w:val="24"/>
                <w:lang w:val="en-US" w:eastAsia="zh-CN"/>
              </w:rPr>
              <w:t>40</w:t>
            </w:r>
            <w:bookmarkStart w:id="177" w:name="_GoBack"/>
            <w:bookmarkEnd w:id="177"/>
            <w:r>
              <w:rPr>
                <w:rFonts w:hint="eastAsia" w:ascii="宋体" w:hAnsi="宋体"/>
                <w:sz w:val="24"/>
              </w:rPr>
              <w:t>%</w:t>
            </w:r>
          </w:p>
        </w:tc>
        <w:tc>
          <w:tcPr>
            <w:tcW w:w="430" w:type="pct"/>
            <w:tcBorders>
              <w:tl2br w:val="nil"/>
              <w:tr2bl w:val="nil"/>
            </w:tcBorders>
            <w:noWrap w:val="0"/>
            <w:vAlign w:val="center"/>
          </w:tcPr>
          <w:p w14:paraId="77135DA2">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sz w:val="24"/>
                <w:lang w:val="en-US" w:eastAsia="zh-CN"/>
              </w:rPr>
              <w:t>40</w:t>
            </w:r>
            <w:r>
              <w:rPr>
                <w:rFonts w:hint="eastAsia" w:ascii="宋体" w:hAnsi="宋体"/>
                <w:sz w:val="24"/>
              </w:rPr>
              <w:t>分</w:t>
            </w:r>
          </w:p>
        </w:tc>
        <w:tc>
          <w:tcPr>
            <w:tcW w:w="2830" w:type="pct"/>
            <w:tcBorders>
              <w:tl2br w:val="nil"/>
              <w:tr2bl w:val="nil"/>
            </w:tcBorders>
            <w:noWrap w:val="0"/>
            <w:vAlign w:val="center"/>
          </w:tcPr>
          <w:p w14:paraId="4609F784">
            <w:pPr>
              <w:spacing w:line="320" w:lineRule="exact"/>
              <w:jc w:val="left"/>
              <w:rPr>
                <w:rFonts w:hint="eastAsia" w:ascii="宋体" w:hAnsi="宋体" w:eastAsia="宋体"/>
                <w:sz w:val="24"/>
                <w:lang w:eastAsia="zh-CN"/>
              </w:rPr>
            </w:pPr>
            <w:r>
              <w:rPr>
                <w:rFonts w:hint="eastAsia" w:ascii="宋体" w:hAnsi="宋体"/>
                <w:sz w:val="24"/>
              </w:rPr>
              <w:t>根据投标人提供实施方案，包含</w:t>
            </w:r>
            <w:r>
              <w:rPr>
                <w:rFonts w:hint="eastAsia" w:ascii="宋体" w:hAnsi="宋体"/>
                <w:sz w:val="24"/>
                <w:lang w:eastAsia="zh-CN"/>
              </w:rPr>
              <w:t>：</w:t>
            </w:r>
          </w:p>
          <w:p w14:paraId="41BF36A5">
            <w:pPr>
              <w:spacing w:line="320" w:lineRule="exact"/>
              <w:jc w:val="left"/>
              <w:rPr>
                <w:rFonts w:hint="eastAsia" w:ascii="宋体" w:hAnsi="宋体"/>
                <w:sz w:val="24"/>
                <w:lang w:eastAsia="zh-CN"/>
              </w:rPr>
            </w:pPr>
            <w:r>
              <w:rPr>
                <w:rFonts w:hint="eastAsia" w:ascii="宋体" w:hAnsi="宋体"/>
                <w:sz w:val="24"/>
                <w:lang w:val="en-US" w:eastAsia="zh-CN"/>
              </w:rPr>
              <w:t>1.</w:t>
            </w:r>
            <w:r>
              <w:rPr>
                <w:rFonts w:hint="eastAsia" w:ascii="宋体" w:hAnsi="宋体"/>
                <w:sz w:val="24"/>
              </w:rPr>
              <w:t>项目进度计划</w:t>
            </w:r>
            <w:r>
              <w:rPr>
                <w:rFonts w:hint="eastAsia" w:ascii="宋体" w:hAnsi="宋体"/>
                <w:sz w:val="24"/>
                <w:lang w:eastAsia="zh-CN"/>
              </w:rPr>
              <w:t>；</w:t>
            </w:r>
          </w:p>
          <w:p w14:paraId="6AD6A126">
            <w:pPr>
              <w:spacing w:line="320" w:lineRule="exact"/>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rPr>
              <w:t>质量保障措施</w:t>
            </w:r>
            <w:r>
              <w:rPr>
                <w:rFonts w:hint="eastAsia" w:ascii="宋体" w:hAnsi="宋体"/>
                <w:sz w:val="24"/>
                <w:lang w:eastAsia="zh-CN"/>
              </w:rPr>
              <w:t>；</w:t>
            </w:r>
          </w:p>
          <w:p w14:paraId="056EB281">
            <w:pPr>
              <w:spacing w:line="320" w:lineRule="exact"/>
              <w:jc w:val="left"/>
              <w:rPr>
                <w:rFonts w:hint="eastAsia" w:ascii="宋体" w:hAnsi="宋体"/>
                <w:sz w:val="24"/>
                <w:lang w:eastAsia="zh-CN"/>
              </w:rPr>
            </w:pPr>
            <w:r>
              <w:rPr>
                <w:rFonts w:hint="eastAsia" w:ascii="宋体" w:hAnsi="宋体"/>
                <w:sz w:val="24"/>
                <w:lang w:val="en-US" w:eastAsia="zh-CN"/>
              </w:rPr>
              <w:t>3.</w:t>
            </w:r>
            <w:r>
              <w:rPr>
                <w:rFonts w:hint="eastAsia" w:ascii="宋体" w:hAnsi="宋体"/>
                <w:sz w:val="24"/>
              </w:rPr>
              <w:t>安装调试</w:t>
            </w:r>
            <w:r>
              <w:rPr>
                <w:rFonts w:hint="eastAsia" w:ascii="宋体" w:hAnsi="宋体"/>
                <w:sz w:val="24"/>
                <w:lang w:eastAsia="zh-CN"/>
              </w:rPr>
              <w:t>；</w:t>
            </w:r>
          </w:p>
          <w:p w14:paraId="47CA2595">
            <w:pPr>
              <w:spacing w:line="320" w:lineRule="exact"/>
              <w:jc w:val="left"/>
              <w:rPr>
                <w:rFonts w:hint="eastAsia" w:ascii="宋体" w:hAnsi="宋体"/>
                <w:sz w:val="24"/>
                <w:lang w:eastAsia="zh-CN"/>
              </w:rPr>
            </w:pPr>
            <w:r>
              <w:rPr>
                <w:rFonts w:hint="eastAsia" w:ascii="宋体" w:hAnsi="宋体"/>
                <w:sz w:val="24"/>
                <w:lang w:val="en-US" w:eastAsia="zh-CN"/>
              </w:rPr>
              <w:t>4.</w:t>
            </w:r>
            <w:r>
              <w:rPr>
                <w:rFonts w:hint="eastAsia" w:ascii="宋体" w:hAnsi="宋体"/>
                <w:sz w:val="24"/>
              </w:rPr>
              <w:t>信息安全</w:t>
            </w:r>
            <w:r>
              <w:rPr>
                <w:rFonts w:hint="eastAsia" w:ascii="宋体" w:hAnsi="宋体"/>
                <w:sz w:val="24"/>
                <w:lang w:eastAsia="zh-CN"/>
              </w:rPr>
              <w:t>；</w:t>
            </w:r>
          </w:p>
          <w:p w14:paraId="0979161E">
            <w:pPr>
              <w:spacing w:line="320" w:lineRule="exact"/>
              <w:jc w:val="left"/>
              <w:rPr>
                <w:rFonts w:hint="eastAsia" w:ascii="宋体" w:hAnsi="宋体"/>
                <w:sz w:val="24"/>
              </w:rPr>
            </w:pPr>
            <w:r>
              <w:rPr>
                <w:rFonts w:hint="eastAsia" w:ascii="宋体" w:hAnsi="宋体"/>
                <w:sz w:val="24"/>
                <w:lang w:val="en-US" w:eastAsia="zh-CN"/>
              </w:rPr>
              <w:t>5.</w:t>
            </w:r>
            <w:r>
              <w:rPr>
                <w:rFonts w:hint="eastAsia" w:ascii="宋体" w:hAnsi="宋体"/>
                <w:sz w:val="24"/>
              </w:rPr>
              <w:t>售后服方案。</w:t>
            </w:r>
          </w:p>
          <w:p w14:paraId="7494D1B1">
            <w:pPr>
              <w:spacing w:line="320" w:lineRule="exact"/>
              <w:jc w:val="left"/>
              <w:rPr>
                <w:rFonts w:hint="default"/>
                <w:lang w:val="en-US" w:eastAsia="zh-CN"/>
              </w:rPr>
            </w:pPr>
            <w:r>
              <w:rPr>
                <w:rFonts w:hint="eastAsia" w:ascii="宋体" w:hAnsi="宋体" w:eastAsia="宋体"/>
                <w:sz w:val="24"/>
                <w:lang w:val="en-US" w:eastAsia="zh-CN"/>
              </w:rPr>
              <w:t>以上</w:t>
            </w:r>
            <w:r>
              <w:rPr>
                <w:rFonts w:hint="eastAsia" w:ascii="宋体" w:hAnsi="宋体" w:eastAsia="宋体"/>
                <w:sz w:val="24"/>
                <w:lang w:eastAsia="zh-CN"/>
              </w:rPr>
              <w:t>内容</w:t>
            </w:r>
            <w:r>
              <w:rPr>
                <w:rFonts w:hint="eastAsia" w:ascii="宋体" w:hAnsi="宋体" w:eastAsia="宋体"/>
                <w:sz w:val="24"/>
                <w:lang w:val="en-US" w:eastAsia="zh-CN"/>
              </w:rPr>
              <w:t>应</w:t>
            </w:r>
            <w:r>
              <w:rPr>
                <w:rFonts w:hint="eastAsia" w:ascii="宋体" w:hAnsi="宋体" w:eastAsia="宋体"/>
                <w:sz w:val="24"/>
                <w:lang w:eastAsia="zh-CN"/>
              </w:rPr>
              <w:t>科学合理，描述分析准确符合项目要求，</w:t>
            </w:r>
            <w:r>
              <w:rPr>
                <w:rFonts w:hint="eastAsia" w:ascii="宋体" w:hAnsi="宋体" w:eastAsia="宋体"/>
                <w:sz w:val="24"/>
                <w:lang w:val="en-US" w:eastAsia="zh-CN"/>
              </w:rPr>
              <w:t>每项方案根据</w:t>
            </w:r>
            <w:r>
              <w:rPr>
                <w:rFonts w:hint="eastAsia" w:ascii="宋体" w:hAnsi="宋体" w:eastAsia="宋体"/>
                <w:sz w:val="24"/>
              </w:rPr>
              <w:t>全面性和操作性进行评分</w:t>
            </w:r>
            <w:r>
              <w:rPr>
                <w:rFonts w:hint="eastAsia" w:ascii="宋体" w:hAnsi="宋体" w:eastAsia="宋体"/>
                <w:sz w:val="24"/>
                <w:lang w:eastAsia="zh-CN"/>
              </w:rPr>
              <w:t>，</w:t>
            </w:r>
            <w:r>
              <w:rPr>
                <w:rFonts w:hint="eastAsia" w:ascii="宋体" w:hAnsi="宋体" w:eastAsia="宋体"/>
                <w:sz w:val="24"/>
                <w:lang w:val="en-US" w:eastAsia="zh-CN"/>
              </w:rPr>
              <w:t>优得</w:t>
            </w:r>
            <w:r>
              <w:rPr>
                <w:rFonts w:hint="eastAsia" w:ascii="宋体" w:hAnsi="宋体"/>
                <w:sz w:val="24"/>
                <w:lang w:val="en-US" w:eastAsia="zh-CN"/>
              </w:rPr>
              <w:t>8</w:t>
            </w:r>
            <w:r>
              <w:rPr>
                <w:rFonts w:hint="eastAsia" w:ascii="宋体" w:hAnsi="宋体" w:eastAsia="宋体"/>
                <w:sz w:val="24"/>
                <w:lang w:val="en-US" w:eastAsia="zh-CN"/>
              </w:rPr>
              <w:t>分，良得</w:t>
            </w:r>
            <w:r>
              <w:rPr>
                <w:rFonts w:hint="eastAsia" w:ascii="宋体" w:hAnsi="宋体"/>
                <w:sz w:val="24"/>
                <w:lang w:val="en-US" w:eastAsia="zh-CN"/>
              </w:rPr>
              <w:t>5</w:t>
            </w:r>
            <w:r>
              <w:rPr>
                <w:rFonts w:hint="eastAsia" w:ascii="宋体" w:hAnsi="宋体" w:eastAsia="宋体"/>
                <w:sz w:val="24"/>
                <w:lang w:val="en-US" w:eastAsia="zh-CN"/>
              </w:rPr>
              <w:t>分，</w:t>
            </w:r>
            <w:r>
              <w:rPr>
                <w:rFonts w:hint="eastAsia" w:ascii="宋体" w:hAnsi="宋体"/>
                <w:sz w:val="24"/>
                <w:lang w:val="en-US" w:eastAsia="zh-CN"/>
              </w:rPr>
              <w:t>差</w:t>
            </w:r>
            <w:r>
              <w:rPr>
                <w:rFonts w:hint="eastAsia" w:ascii="宋体" w:hAnsi="宋体" w:eastAsia="宋体"/>
                <w:sz w:val="24"/>
                <w:lang w:val="en-US" w:eastAsia="zh-CN"/>
              </w:rPr>
              <w:t>得</w:t>
            </w:r>
            <w:r>
              <w:rPr>
                <w:rFonts w:hint="eastAsia" w:ascii="宋体" w:hAnsi="宋体"/>
                <w:sz w:val="24"/>
                <w:lang w:val="en-US" w:eastAsia="zh-CN"/>
              </w:rPr>
              <w:t>2</w:t>
            </w:r>
            <w:r>
              <w:rPr>
                <w:rFonts w:hint="eastAsia" w:ascii="宋体" w:hAnsi="宋体" w:eastAsia="宋体"/>
                <w:sz w:val="24"/>
                <w:lang w:val="en-US" w:eastAsia="zh-CN"/>
              </w:rPr>
              <w:t>分，每项方案最高</w:t>
            </w:r>
            <w:r>
              <w:rPr>
                <w:rFonts w:hint="eastAsia" w:ascii="宋体" w:hAnsi="宋体" w:eastAsia="宋体"/>
                <w:sz w:val="24"/>
                <w:lang w:eastAsia="zh-CN"/>
              </w:rPr>
              <w:t>得</w:t>
            </w:r>
            <w:r>
              <w:rPr>
                <w:rFonts w:hint="eastAsia" w:ascii="宋体" w:hAnsi="宋体"/>
                <w:sz w:val="24"/>
                <w:lang w:val="en-US" w:eastAsia="zh-CN"/>
              </w:rPr>
              <w:t>8</w:t>
            </w:r>
            <w:r>
              <w:rPr>
                <w:rFonts w:hint="eastAsia" w:ascii="宋体" w:hAnsi="宋体" w:eastAsia="宋体"/>
                <w:sz w:val="24"/>
                <w:lang w:eastAsia="zh-CN"/>
              </w:rPr>
              <w:t>分,缺项的，该缺项不得分。</w:t>
            </w:r>
            <w:r>
              <w:rPr>
                <w:rFonts w:hint="eastAsia" w:ascii="宋体" w:hAnsi="宋体" w:eastAsia="宋体"/>
                <w:sz w:val="24"/>
                <w:lang w:val="en-US" w:eastAsia="zh-CN"/>
              </w:rPr>
              <w:t>本项满分</w:t>
            </w:r>
            <w:r>
              <w:rPr>
                <w:rFonts w:hint="eastAsia" w:ascii="宋体" w:hAnsi="宋体"/>
                <w:sz w:val="24"/>
                <w:lang w:val="en-US" w:eastAsia="zh-CN"/>
              </w:rPr>
              <w:t>40</w:t>
            </w:r>
            <w:r>
              <w:rPr>
                <w:rFonts w:hint="eastAsia" w:ascii="宋体" w:hAnsi="宋体" w:eastAsia="宋体"/>
                <w:sz w:val="24"/>
                <w:lang w:val="en-US" w:eastAsia="zh-CN"/>
              </w:rPr>
              <w:t>分。</w:t>
            </w:r>
          </w:p>
        </w:tc>
        <w:tc>
          <w:tcPr>
            <w:tcW w:w="875" w:type="pct"/>
            <w:tcBorders>
              <w:tl2br w:val="nil"/>
              <w:tr2bl w:val="nil"/>
            </w:tcBorders>
            <w:noWrap w:val="0"/>
            <w:vAlign w:val="center"/>
          </w:tcPr>
          <w:p w14:paraId="4B176A70">
            <w:pPr>
              <w:spacing w:line="360" w:lineRule="auto"/>
              <w:jc w:val="center"/>
              <w:rPr>
                <w:rFonts w:hint="eastAsia" w:ascii="宋体" w:hAnsi="宋体" w:eastAsia="宋体" w:cs="宋体"/>
                <w:color w:val="auto"/>
                <w:kern w:val="2"/>
                <w:sz w:val="24"/>
                <w:szCs w:val="24"/>
                <w:highlight w:val="none"/>
                <w:lang w:val="en-US" w:eastAsia="zh-CN" w:bidi="ar-SA"/>
              </w:rPr>
            </w:pPr>
          </w:p>
        </w:tc>
      </w:tr>
    </w:tbl>
    <w:p w14:paraId="34669257">
      <w:pPr>
        <w:pStyle w:val="2"/>
        <w:spacing w:line="360" w:lineRule="auto"/>
        <w:ind w:firstLine="211" w:firstLineChars="100"/>
        <w:rPr>
          <w:rFonts w:hint="eastAsia" w:ascii="宋体" w:hAnsi="宋体" w:eastAsia="宋体" w:cs="宋体"/>
          <w:b/>
          <w:bCs/>
          <w:color w:val="auto"/>
          <w:szCs w:val="21"/>
          <w:highlight w:val="none"/>
        </w:rPr>
      </w:pPr>
      <w:bookmarkStart w:id="164" w:name="_Toc11547"/>
      <w:bookmarkStart w:id="165" w:name="_Toc2565"/>
      <w:bookmarkStart w:id="166" w:name="_Toc19086"/>
      <w:bookmarkStart w:id="167" w:name="_Toc2279"/>
      <w:bookmarkStart w:id="168" w:name="_Toc8690"/>
      <w:bookmarkStart w:id="169" w:name="_Toc27533"/>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szCs w:val="21"/>
          <w:highlight w:val="none"/>
        </w:rPr>
        <w:t>得分结果保留两位小数。</w:t>
      </w:r>
      <w:bookmarkEnd w:id="164"/>
      <w:bookmarkEnd w:id="165"/>
      <w:bookmarkEnd w:id="166"/>
      <w:bookmarkEnd w:id="167"/>
      <w:bookmarkEnd w:id="168"/>
      <w:bookmarkEnd w:id="169"/>
    </w:p>
    <w:permEnd w:id="68"/>
    <w:p w14:paraId="5E69EAB6">
      <w:pPr>
        <w:adjustRightInd w:val="0"/>
        <w:snapToGrid w:val="0"/>
        <w:spacing w:line="360" w:lineRule="auto"/>
        <w:ind w:firstLine="482" w:firstLineChars="200"/>
        <w:outlineLvl w:val="1"/>
        <w:rPr>
          <w:rFonts w:hint="eastAsia" w:ascii="宋体" w:hAnsi="宋体"/>
          <w:b/>
          <w:bCs/>
          <w:color w:val="auto"/>
          <w:sz w:val="24"/>
          <w:highlight w:val="none"/>
        </w:rPr>
      </w:pPr>
      <w:bookmarkStart w:id="170" w:name="_Toc91771179"/>
      <w:bookmarkStart w:id="171" w:name="_Toc26769"/>
      <w:bookmarkStart w:id="172" w:name="_Toc1581"/>
      <w:r>
        <w:rPr>
          <w:rFonts w:hint="eastAsia" w:ascii="宋体" w:hAnsi="宋体"/>
          <w:b/>
          <w:bCs/>
          <w:color w:val="auto"/>
          <w:sz w:val="24"/>
          <w:highlight w:val="none"/>
          <w:lang w:eastAsia="zh-CN"/>
        </w:rPr>
        <w:t>四</w:t>
      </w:r>
      <w:r>
        <w:rPr>
          <w:rFonts w:hint="eastAsia" w:ascii="宋体" w:hAnsi="宋体"/>
          <w:b/>
          <w:bCs/>
          <w:color w:val="auto"/>
          <w:sz w:val="24"/>
          <w:highlight w:val="none"/>
        </w:rPr>
        <w:t>、评审纪律</w:t>
      </w:r>
      <w:bookmarkEnd w:id="170"/>
      <w:bookmarkEnd w:id="171"/>
      <w:bookmarkEnd w:id="172"/>
    </w:p>
    <w:p w14:paraId="222654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14:paraId="009DC2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14:paraId="5F2286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73" w:name="_Hlt101846155"/>
      <w:bookmarkEnd w:id="173"/>
    </w:p>
    <w:p w14:paraId="32229AC5">
      <w:pPr>
        <w:adjustRightInd w:val="0"/>
        <w:snapToGrid w:val="0"/>
        <w:spacing w:line="360" w:lineRule="auto"/>
        <w:ind w:firstLine="480" w:firstLineChars="200"/>
        <w:rPr>
          <w:rFonts w:hint="eastAsia" w:ascii="宋体" w:hAnsi="宋体"/>
          <w:bCs/>
          <w:color w:val="auto"/>
          <w:sz w:val="24"/>
          <w:highlight w:val="none"/>
          <w:lang w:eastAsia="zh-CN"/>
        </w:rPr>
      </w:pPr>
    </w:p>
    <w:p w14:paraId="2481436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permStart w:id="69" w:edGrp="everyone"/>
      <w:bookmarkStart w:id="174" w:name="_Toc3924"/>
      <w:bookmarkStart w:id="175" w:name="_Toc91771180"/>
      <w:bookmarkStart w:id="176" w:name="_Toc16431"/>
      <w:r>
        <w:rPr>
          <w:rFonts w:hint="eastAsia" w:ascii="黑体" w:hAnsi="黑体" w:eastAsia="黑体"/>
          <w:color w:val="auto"/>
          <w:sz w:val="36"/>
          <w:highlight w:val="none"/>
        </w:rPr>
        <w:t>第七章 采购合同（草案）</w:t>
      </w:r>
      <w:bookmarkEnd w:id="174"/>
      <w:bookmarkEnd w:id="175"/>
      <w:bookmarkEnd w:id="176"/>
    </w:p>
    <w:bookmarkEnd w:id="162"/>
    <w:bookmarkEnd w:id="163"/>
    <w:p w14:paraId="3F3A6F7F">
      <w:pPr>
        <w:ind w:right="420"/>
        <w:jc w:val="center"/>
        <w:textAlignment w:val="baseline"/>
        <w:rPr>
          <w:rFonts w:hint="eastAsia" w:eastAsia="方正小标宋简体"/>
          <w:sz w:val="84"/>
          <w:szCs w:val="84"/>
          <w:lang w:val="en-US" w:eastAsia="zh-CN"/>
        </w:rPr>
      </w:pPr>
    </w:p>
    <w:p w14:paraId="4C169E88">
      <w:pPr>
        <w:ind w:right="420"/>
        <w:jc w:val="center"/>
        <w:textAlignment w:val="baseline"/>
        <w:rPr>
          <w:rFonts w:hint="eastAsia" w:eastAsia="方正小标宋简体"/>
          <w:sz w:val="84"/>
          <w:szCs w:val="84"/>
          <w:lang w:val="en-US" w:eastAsia="zh-CN"/>
        </w:rPr>
      </w:pPr>
    </w:p>
    <w:p w14:paraId="24EEC646">
      <w:pPr>
        <w:ind w:right="420"/>
        <w:jc w:val="center"/>
        <w:textAlignment w:val="baseline"/>
        <w:rPr>
          <w:rFonts w:hint="eastAsia" w:eastAsia="方正小标宋简体"/>
          <w:sz w:val="84"/>
          <w:szCs w:val="84"/>
          <w:lang w:val="en-US" w:eastAsia="zh-CN"/>
        </w:rPr>
      </w:pPr>
    </w:p>
    <w:p w14:paraId="6F76DD11">
      <w:pPr>
        <w:ind w:right="420"/>
        <w:jc w:val="center"/>
        <w:textAlignment w:val="baseline"/>
        <w:rPr>
          <w:rFonts w:hint="eastAsia" w:eastAsia="方正小标宋简体"/>
          <w:sz w:val="84"/>
          <w:szCs w:val="84"/>
          <w:lang w:val="en-US" w:eastAsia="zh-CN"/>
        </w:rPr>
      </w:pPr>
      <w:r>
        <w:rPr>
          <w:rFonts w:hint="eastAsia" w:eastAsia="方正小标宋简体"/>
          <w:sz w:val="84"/>
          <w:szCs w:val="84"/>
          <w:lang w:val="en-US" w:eastAsia="zh-CN"/>
        </w:rPr>
        <w:t>XXXX合同</w:t>
      </w:r>
    </w:p>
    <w:p w14:paraId="3E85FFD6">
      <w:pPr>
        <w:ind w:right="420"/>
        <w:jc w:val="both"/>
        <w:textAlignment w:val="baseline"/>
        <w:rPr>
          <w:rFonts w:hint="eastAsia" w:eastAsia="方正小标宋简体"/>
          <w:sz w:val="32"/>
          <w:szCs w:val="32"/>
          <w:lang w:val="en-US" w:eastAsia="zh-CN"/>
        </w:rPr>
      </w:pPr>
      <w:r>
        <w:rPr>
          <w:rFonts w:hint="eastAsia" w:eastAsia="方正小标宋简体"/>
          <w:sz w:val="44"/>
          <w:szCs w:val="44"/>
          <w:lang w:val="en-US" w:eastAsia="zh-CN"/>
        </w:rPr>
        <w:t xml:space="preserve">         </w:t>
      </w:r>
      <w:r>
        <w:rPr>
          <w:rFonts w:hint="eastAsia" w:eastAsia="方正小标宋简体"/>
          <w:sz w:val="32"/>
          <w:szCs w:val="32"/>
          <w:lang w:val="en-US" w:eastAsia="zh-CN"/>
        </w:rPr>
        <w:t>甲方：</w:t>
      </w:r>
    </w:p>
    <w:p w14:paraId="5B1FE372">
      <w:pPr>
        <w:ind w:right="420"/>
        <w:jc w:val="both"/>
        <w:textAlignment w:val="baseline"/>
        <w:rPr>
          <w:rFonts w:hint="eastAsia" w:eastAsia="方正小标宋简体"/>
          <w:sz w:val="32"/>
          <w:szCs w:val="32"/>
          <w:lang w:val="en-US" w:eastAsia="zh-CN"/>
        </w:rPr>
      </w:pPr>
      <w:r>
        <w:rPr>
          <w:rFonts w:hint="eastAsia" w:eastAsia="方正小标宋简体"/>
          <w:sz w:val="32"/>
          <w:szCs w:val="32"/>
          <w:lang w:val="en-US" w:eastAsia="zh-CN"/>
        </w:rPr>
        <w:t xml:space="preserve">            乙方：</w:t>
      </w:r>
    </w:p>
    <w:p w14:paraId="0D7CBC1B">
      <w:pPr>
        <w:ind w:right="420"/>
        <w:jc w:val="both"/>
        <w:textAlignment w:val="baseline"/>
        <w:rPr>
          <w:rFonts w:hint="eastAsia" w:eastAsia="方正小标宋简体"/>
          <w:sz w:val="32"/>
          <w:szCs w:val="32"/>
          <w:lang w:val="en-US" w:eastAsia="zh-CN"/>
        </w:rPr>
      </w:pPr>
    </w:p>
    <w:p w14:paraId="66E29697">
      <w:pPr>
        <w:ind w:right="420"/>
        <w:jc w:val="both"/>
        <w:textAlignment w:val="baseline"/>
        <w:rPr>
          <w:rFonts w:hint="default" w:eastAsia="方正小标宋简体"/>
          <w:sz w:val="32"/>
          <w:szCs w:val="32"/>
          <w:lang w:val="en-US" w:eastAsia="zh-CN"/>
        </w:rPr>
      </w:pPr>
      <w:r>
        <w:rPr>
          <w:rFonts w:hint="eastAsia" w:eastAsia="方正小标宋简体"/>
          <w:sz w:val="32"/>
          <w:szCs w:val="32"/>
          <w:lang w:val="en-US" w:eastAsia="zh-CN"/>
        </w:rPr>
        <w:t xml:space="preserve">                  年   月    日</w:t>
      </w:r>
    </w:p>
    <w:p w14:paraId="57C3B63D">
      <w:pPr>
        <w:ind w:right="420"/>
        <w:jc w:val="center"/>
        <w:textAlignment w:val="baseline"/>
        <w:rPr>
          <w:rFonts w:hint="eastAsia" w:eastAsia="方正小标宋简体"/>
          <w:sz w:val="44"/>
          <w:szCs w:val="44"/>
          <w:lang w:val="en-US" w:eastAsia="zh-CN"/>
        </w:rPr>
      </w:pPr>
    </w:p>
    <w:p w14:paraId="5392EBED">
      <w:pPr>
        <w:ind w:right="420"/>
        <w:jc w:val="center"/>
        <w:textAlignment w:val="baseline"/>
        <w:rPr>
          <w:rFonts w:hint="eastAsia" w:eastAsia="方正小标宋简体"/>
          <w:sz w:val="44"/>
          <w:szCs w:val="44"/>
          <w:lang w:val="en-US" w:eastAsia="zh-CN"/>
        </w:rPr>
      </w:pPr>
    </w:p>
    <w:p w14:paraId="5B6573AB">
      <w:pPr>
        <w:ind w:right="420"/>
        <w:jc w:val="center"/>
        <w:textAlignment w:val="baseline"/>
        <w:rPr>
          <w:rFonts w:hint="eastAsia" w:eastAsia="方正小标宋简体"/>
          <w:sz w:val="44"/>
          <w:szCs w:val="44"/>
          <w:lang w:val="en-US" w:eastAsia="zh-CN"/>
        </w:rPr>
      </w:pPr>
    </w:p>
    <w:p w14:paraId="5050C68F">
      <w:pPr>
        <w:ind w:right="420"/>
        <w:jc w:val="center"/>
        <w:textAlignment w:val="baseline"/>
        <w:rPr>
          <w:rFonts w:hint="eastAsia" w:eastAsia="方正小标宋简体"/>
          <w:sz w:val="44"/>
          <w:szCs w:val="44"/>
          <w:lang w:val="en-US" w:eastAsia="zh-CN"/>
        </w:rPr>
      </w:pPr>
    </w:p>
    <w:p w14:paraId="03356AB9">
      <w:pPr>
        <w:ind w:right="420"/>
        <w:jc w:val="center"/>
        <w:textAlignment w:val="baseline"/>
        <w:rPr>
          <w:rFonts w:hint="eastAsia" w:eastAsia="方正小标宋简体"/>
          <w:sz w:val="44"/>
          <w:szCs w:val="44"/>
          <w:lang w:val="en-US" w:eastAsia="zh-CN"/>
        </w:rPr>
      </w:pPr>
    </w:p>
    <w:p w14:paraId="245DB087">
      <w:pPr>
        <w:ind w:right="420"/>
        <w:jc w:val="both"/>
        <w:textAlignment w:val="baseline"/>
        <w:rPr>
          <w:rFonts w:hint="eastAsia" w:eastAsia="方正小标宋简体"/>
          <w:sz w:val="44"/>
          <w:szCs w:val="44"/>
          <w:lang w:val="en-US" w:eastAsia="zh-CN"/>
        </w:rPr>
        <w:sectPr>
          <w:headerReference r:id="rId20" w:type="default"/>
          <w:pgSz w:w="11906" w:h="16838"/>
          <w:pgMar w:top="1440" w:right="1800" w:bottom="1440" w:left="1800" w:header="851" w:footer="992" w:gutter="0"/>
          <w:pgNumType w:fmt="decimal"/>
          <w:cols w:space="425" w:num="1"/>
          <w:docGrid w:type="lines" w:linePitch="312" w:charSpace="0"/>
        </w:sectPr>
      </w:pPr>
    </w:p>
    <w:p w14:paraId="471C7A40">
      <w:pPr>
        <w:ind w:right="420" w:firstLine="2640" w:firstLineChars="600"/>
        <w:jc w:val="both"/>
        <w:textAlignment w:val="baseline"/>
        <w:rPr>
          <w:rFonts w:hint="eastAsia"/>
        </w:rPr>
      </w:pPr>
      <w:r>
        <w:rPr>
          <w:rFonts w:hint="eastAsia" w:eastAsia="方正小标宋简体"/>
          <w:sz w:val="44"/>
          <w:szCs w:val="44"/>
          <w:lang w:val="en-US" w:eastAsia="zh-CN"/>
        </w:rPr>
        <w:t>XXXX合同</w:t>
      </w:r>
    </w:p>
    <w:p w14:paraId="7023FE6B">
      <w:pPr>
        <w:spacing w:line="360" w:lineRule="auto"/>
        <w:textAlignment w:val="baseline"/>
        <w:rPr>
          <w:rFonts w:hint="eastAsia" w:ascii="宋体" w:hAnsi="宋体"/>
          <w:b/>
          <w:color w:val="000000"/>
          <w:szCs w:val="21"/>
        </w:rPr>
      </w:pPr>
    </w:p>
    <w:p w14:paraId="1B05D15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p>
    <w:p w14:paraId="1C40DCF9">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法定代表人：</w:t>
      </w:r>
    </w:p>
    <w:p w14:paraId="18A5F618">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联系人：</w:t>
      </w:r>
    </w:p>
    <w:p w14:paraId="76070D85">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联系电话：</w:t>
      </w:r>
    </w:p>
    <w:p w14:paraId="0312193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联系地址：</w:t>
      </w:r>
    </w:p>
    <w:p w14:paraId="2050A15E">
      <w:pPr>
        <w:spacing w:line="360" w:lineRule="auto"/>
        <w:ind w:firstLine="640" w:firstLineChars="200"/>
        <w:rPr>
          <w:rFonts w:hint="eastAsia" w:ascii="仿宋_GB2312" w:hAnsi="仿宋_GB2312" w:eastAsia="仿宋_GB2312" w:cs="仿宋_GB2312"/>
          <w:color w:val="000000"/>
          <w:sz w:val="32"/>
          <w:szCs w:val="32"/>
        </w:rPr>
      </w:pPr>
    </w:p>
    <w:p w14:paraId="7D518F21">
      <w:p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000000"/>
          <w:sz w:val="32"/>
          <w:szCs w:val="32"/>
          <w:lang w:val="en-US" w:eastAsia="zh-CN"/>
        </w:rPr>
        <w:t xml:space="preserve"> </w:t>
      </w:r>
    </w:p>
    <w:p w14:paraId="3B9F6629">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法定代表人：</w:t>
      </w:r>
    </w:p>
    <w:p w14:paraId="60982F51">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联系人：</w:t>
      </w:r>
    </w:p>
    <w:p w14:paraId="1EB0568C">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联系电话：</w:t>
      </w:r>
    </w:p>
    <w:p w14:paraId="612499F5">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联系</w:t>
      </w:r>
      <w:r>
        <w:rPr>
          <w:rFonts w:hint="eastAsia" w:ascii="仿宋_GB2312" w:hAnsi="仿宋_GB2312" w:eastAsia="仿宋_GB2312" w:cs="仿宋_GB2312"/>
          <w:color w:val="000000"/>
          <w:sz w:val="32"/>
          <w:szCs w:val="32"/>
        </w:rPr>
        <w:t>地址：</w:t>
      </w:r>
    </w:p>
    <w:p w14:paraId="7B613015">
      <w:pPr>
        <w:pStyle w:val="2"/>
        <w:rPr>
          <w:rFonts w:hint="default" w:ascii="仿宋_GB2312" w:hAnsi="仿宋_GB2312" w:eastAsia="仿宋_GB2312" w:cs="仿宋_GB2312"/>
          <w:color w:val="000000"/>
          <w:sz w:val="32"/>
          <w:szCs w:val="32"/>
          <w:lang w:val="en-US" w:eastAsia="zh-CN"/>
        </w:rPr>
      </w:pPr>
    </w:p>
    <w:p w14:paraId="37D7FF88">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根据中华人民共和国</w:t>
      </w:r>
      <w:r>
        <w:rPr>
          <w:rFonts w:hint="eastAsia" w:ascii="仿宋_GB2312" w:hAnsi="仿宋_GB2312" w:eastAsia="仿宋_GB2312" w:cs="仿宋_GB2312"/>
          <w:color w:val="000000"/>
          <w:sz w:val="32"/>
          <w:szCs w:val="32"/>
          <w:lang w:eastAsia="zh-CN"/>
        </w:rPr>
        <w:t>相</w:t>
      </w:r>
      <w:r>
        <w:rPr>
          <w:rFonts w:hint="eastAsia" w:ascii="仿宋_GB2312" w:hAnsi="仿宋_GB2312" w:eastAsia="仿宋_GB2312" w:cs="仿宋_GB2312"/>
          <w:color w:val="000000"/>
          <w:sz w:val="32"/>
          <w:szCs w:val="32"/>
        </w:rPr>
        <w:t>关法律法规的规定，</w:t>
      </w:r>
      <w:r>
        <w:rPr>
          <w:rFonts w:ascii="仿宋_GB2312" w:hAnsi="仿宋_GB2312" w:eastAsia="仿宋_GB2312" w:cs="仿宋_GB2312"/>
          <w:color w:val="000000"/>
          <w:sz w:val="32"/>
          <w:szCs w:val="32"/>
        </w:rPr>
        <w:t>甲、乙双方本着平等合作、互惠互利的原则，</w:t>
      </w:r>
      <w:r>
        <w:rPr>
          <w:rFonts w:hint="eastAsia" w:ascii="仿宋_GB2312" w:hAnsi="仿宋_GB2312" w:eastAsia="仿宋_GB2312" w:cs="仿宋_GB2312"/>
          <w:color w:val="000000"/>
          <w:sz w:val="32"/>
          <w:szCs w:val="32"/>
          <w:u w:val="single"/>
          <w:lang w:eastAsia="zh-CN"/>
        </w:rPr>
        <w:t>就</w:t>
      </w:r>
      <w:r>
        <w:rPr>
          <w:rFonts w:hint="eastAsia" w:ascii="仿宋_GB2312" w:hAnsi="仿宋_GB2312" w:eastAsia="仿宋_GB2312" w:cs="仿宋_GB2312"/>
          <w:color w:val="000000"/>
          <w:sz w:val="32"/>
          <w:szCs w:val="32"/>
          <w:u w:val="single"/>
          <w:lang w:val="en-US" w:eastAsia="zh-CN"/>
        </w:rPr>
        <w:t xml:space="preserve">     事宜</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经友好协商，达成如下协议</w:t>
      </w:r>
      <w:r>
        <w:rPr>
          <w:rFonts w:hint="eastAsia" w:ascii="仿宋_GB2312" w:hAnsi="仿宋_GB2312" w:eastAsia="仿宋_GB2312" w:cs="仿宋_GB2312"/>
          <w:color w:val="000000"/>
          <w:sz w:val="32"/>
          <w:szCs w:val="32"/>
          <w:lang w:eastAsia="zh-CN"/>
        </w:rPr>
        <w:t>。</w:t>
      </w:r>
    </w:p>
    <w:p w14:paraId="317C46F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一、项目清单及合同金额             </w:t>
      </w:r>
    </w:p>
    <w:p w14:paraId="08A0F29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1.项目名称：</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项目。</w:t>
      </w:r>
    </w:p>
    <w:p w14:paraId="66F887B3">
      <w:pPr>
        <w:pStyle w:val="10"/>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2.具体内容：</w:t>
      </w:r>
    </w:p>
    <w:p w14:paraId="078C49D0">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（品种过多，可以后附清单表，明确约定后附货物清单） </w:t>
      </w:r>
    </w:p>
    <w:p w14:paraId="2FA7B8A8">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3.合同金额：人民币</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（含税，税率</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）元(大写：</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元整)，若遇国家税率调整，该合同金额作相应增减。</w:t>
      </w:r>
    </w:p>
    <w:p w14:paraId="1F7C316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二、交货时间、安装地点及交付方式</w:t>
      </w:r>
    </w:p>
    <w:p w14:paraId="3EA86527">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1.合同期限/交货时间：合同签订后</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日内完成供货，如需安装调试的，应完成安装调试。如因甲方原因导致不能交货的，交货期限顺延。</w:t>
      </w:r>
    </w:p>
    <w:p w14:paraId="140E660D">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2.安装/服务地点：江阳区范围内甲方指定地点。</w:t>
      </w:r>
    </w:p>
    <w:p w14:paraId="0A08F106">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3.交付方式：免费送货上门，如需安装调试的，应安装、调试到能正常使用。</w:t>
      </w:r>
    </w:p>
    <w:p w14:paraId="12039822">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4.货物的损毁灭失风险自乙方将货物运至甲方指定地点并安装调试完成（如有）后转移给甲方。</w:t>
      </w:r>
    </w:p>
    <w:p w14:paraId="711FFEFF">
      <w:pPr>
        <w:numPr>
          <w:ilvl w:val="0"/>
          <w:numId w:val="0"/>
        </w:num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支付方式及时间</w:t>
      </w:r>
    </w:p>
    <w:p w14:paraId="29B7B082">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3.1付款方式银行转账，账户信息如下：</w:t>
      </w:r>
    </w:p>
    <w:p w14:paraId="56FC732A">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户名：</w:t>
      </w:r>
      <w:r>
        <w:rPr>
          <w:rFonts w:hint="eastAsia" w:ascii="仿宋_GB2312" w:hAnsi="仿宋_GB2312" w:eastAsia="仿宋_GB2312" w:cs="仿宋_GB2312"/>
          <w:color w:val="000000"/>
          <w:sz w:val="32"/>
          <w:szCs w:val="32"/>
          <w:u w:val="single"/>
          <w:lang w:val="en-US" w:eastAsia="zh-CN"/>
        </w:rPr>
        <w:t xml:space="preserve">                      </w:t>
      </w:r>
    </w:p>
    <w:p w14:paraId="1E7988B7">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开户行：</w:t>
      </w:r>
      <w:r>
        <w:rPr>
          <w:rFonts w:hint="eastAsia" w:ascii="仿宋_GB2312" w:hAnsi="仿宋_GB2312" w:eastAsia="仿宋_GB2312" w:cs="仿宋_GB2312"/>
          <w:color w:val="000000"/>
          <w:sz w:val="32"/>
          <w:szCs w:val="32"/>
          <w:u w:val="single"/>
          <w:lang w:val="en-US" w:eastAsia="zh-CN"/>
        </w:rPr>
        <w:t xml:space="preserve">                    </w:t>
      </w:r>
    </w:p>
    <w:p w14:paraId="20260DAD">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银行账号：</w:t>
      </w:r>
      <w:r>
        <w:rPr>
          <w:rFonts w:hint="eastAsia" w:ascii="仿宋_GB2312" w:hAnsi="仿宋_GB2312" w:eastAsia="仿宋_GB2312" w:cs="仿宋_GB2312"/>
          <w:color w:val="000000"/>
          <w:sz w:val="32"/>
          <w:szCs w:val="32"/>
          <w:u w:val="single"/>
          <w:lang w:val="en-US" w:eastAsia="zh-CN"/>
        </w:rPr>
        <w:t xml:space="preserve">                    </w:t>
      </w:r>
    </w:p>
    <w:p w14:paraId="464FB2B2">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3.2付款时间：</w:t>
      </w:r>
    </w:p>
    <w:p w14:paraId="51B13572">
      <w:pPr>
        <w:numPr>
          <w:ilvl w:val="0"/>
          <w:numId w:val="0"/>
        </w:numPr>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经甲方验收合格，乙方提供等额票据后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增值税普通发票</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增值税专用发票），甲方在15个工作日内一次性支付合同价款的97%（即</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元）给乙方，预留3%（即         元）作为质保金，在质保期满后无息支付给乙方。</w:t>
      </w:r>
    </w:p>
    <w:p w14:paraId="36F8E011">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其他约定：</w:t>
      </w:r>
      <w:r>
        <w:rPr>
          <w:rFonts w:hint="eastAsia" w:ascii="仿宋_GB2312" w:hAnsi="仿宋_GB2312" w:eastAsia="仿宋_GB2312" w:cs="仿宋_GB2312"/>
          <w:color w:val="000000"/>
          <w:sz w:val="32"/>
          <w:szCs w:val="32"/>
          <w:u w:val="single"/>
          <w:lang w:val="en-US" w:eastAsia="zh-CN"/>
        </w:rPr>
        <w:t xml:space="preserve">                                       </w:t>
      </w:r>
    </w:p>
    <w:p w14:paraId="0D087089">
      <w:pPr>
        <w:pStyle w:val="2"/>
        <w:ind w:left="1280" w:hanging="1280" w:hanging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14:paraId="1D2ECE0A">
      <w:pPr>
        <w:pStyle w:val="2"/>
        <w:ind w:left="1278" w:leftChars="304" w:hanging="640" w:hanging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3.3履约保证金</w:t>
      </w:r>
      <w:r>
        <w:rPr>
          <w:rFonts w:hint="eastAsia" w:ascii="仿宋_GB2312" w:hAnsi="仿宋_GB2312" w:eastAsia="仿宋_GB2312" w:cs="仿宋_GB2312"/>
          <w:color w:val="auto"/>
          <w:sz w:val="32"/>
          <w:szCs w:val="32"/>
          <w:lang w:val="en-US" w:eastAsia="zh-CN"/>
        </w:rPr>
        <w:t>（若有）</w:t>
      </w:r>
    </w:p>
    <w:p w14:paraId="6BADBDD6">
      <w:pPr>
        <w:numPr>
          <w:ilvl w:val="0"/>
          <w:numId w:val="0"/>
        </w:numPr>
        <w:spacing w:line="36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i w:val="0"/>
          <w:iCs w:val="0"/>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方应在收到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方账户支付</w:t>
      </w:r>
      <w:r>
        <w:rPr>
          <w:rFonts w:hint="eastAsia" w:ascii="仿宋_GB2312" w:hAnsi="仿宋_GB2312" w:eastAsia="仿宋_GB2312" w:cs="仿宋_GB2312"/>
          <w:color w:val="auto"/>
          <w:sz w:val="32"/>
          <w:szCs w:val="32"/>
          <w:u w:val="single"/>
          <w:lang w:val="en-US" w:eastAsia="zh-CN"/>
        </w:rPr>
        <w:t xml:space="preserve">      元</w:t>
      </w:r>
      <w:r>
        <w:rPr>
          <w:rFonts w:hint="eastAsia" w:ascii="仿宋_GB2312" w:hAnsi="仿宋_GB2312" w:eastAsia="仿宋_GB2312" w:cs="仿宋_GB2312"/>
          <w:color w:val="auto"/>
          <w:sz w:val="32"/>
          <w:szCs w:val="32"/>
          <w:lang w:val="en-US" w:eastAsia="zh-CN"/>
        </w:rPr>
        <w:t xml:space="preserve"> 作为履约保证金，该履约保证金在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方履行完合同所载义务后15个工作日无息返还至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方合同所载账户。</w:t>
      </w:r>
    </w:p>
    <w:p w14:paraId="0000E050">
      <w:pPr>
        <w:numPr>
          <w:ilvl w:val="0"/>
          <w:numId w:val="0"/>
        </w:num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甲、</w:t>
      </w:r>
      <w:r>
        <w:rPr>
          <w:rFonts w:hint="eastAsia" w:ascii="仿宋_GB2312" w:hAnsi="仿宋_GB2312" w:eastAsia="仿宋_GB2312" w:cs="仿宋_GB2312"/>
          <w:color w:val="000000"/>
          <w:sz w:val="32"/>
          <w:szCs w:val="32"/>
          <w:lang w:val="en-US" w:eastAsia="zh-CN"/>
        </w:rPr>
        <w:t>乙双</w:t>
      </w:r>
      <w:r>
        <w:rPr>
          <w:rFonts w:hint="eastAsia" w:ascii="仿宋_GB2312" w:hAnsi="仿宋_GB2312" w:eastAsia="仿宋_GB2312" w:cs="仿宋_GB2312"/>
          <w:color w:val="000000"/>
          <w:sz w:val="32"/>
          <w:szCs w:val="32"/>
          <w:lang w:eastAsia="zh-CN"/>
        </w:rPr>
        <w:t>方权利义务</w:t>
      </w:r>
    </w:p>
    <w:p w14:paraId="364E4D48">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4.1甲方有权到乙方生产场地检查货物质量和生产进度，费用由甲方自行负担。</w:t>
      </w:r>
    </w:p>
    <w:p w14:paraId="64FE354E">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6780E107">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4.3乙方所交产品不符合规定或质量不合格的，由乙方负责在合同约定的交货时间内包换，并承担换货而支付的一切费用和本合同约定的违约金。乙方不能调换的，按不能交货处理。</w:t>
      </w:r>
    </w:p>
    <w:p w14:paraId="6F042C98">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40108068">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4.5甲方按国家相关标准自行组织有关专业人员验收。</w:t>
      </w:r>
    </w:p>
    <w:p w14:paraId="300CB582">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11B3610B">
      <w:pPr>
        <w:pStyle w:val="3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D181DE9">
      <w:pPr>
        <w:pStyle w:val="3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4.5.3产品质量抽样验收合格，双方签署质量验收报告。</w:t>
      </w:r>
    </w:p>
    <w:p w14:paraId="7C684F61">
      <w:pPr>
        <w:pStyle w:val="3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4.6甲方应自乙方履行完合同义务之日起10个工作日内组织验收，甲方无故逾期不进行验收工作的，视同验收合格。</w:t>
      </w:r>
    </w:p>
    <w:p w14:paraId="7889A6BC">
      <w:pPr>
        <w:numPr>
          <w:ilvl w:val="0"/>
          <w:numId w:val="0"/>
        </w:numPr>
        <w:spacing w:line="360" w:lineRule="auto"/>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4.7其他验收标准：</w:t>
      </w:r>
      <w:r>
        <w:rPr>
          <w:rFonts w:hint="eastAsia" w:ascii="仿宋_GB2312" w:hAnsi="仿宋_GB2312" w:eastAsia="仿宋_GB2312" w:cs="仿宋_GB2312"/>
          <w:color w:val="000000"/>
          <w:kern w:val="2"/>
          <w:sz w:val="32"/>
          <w:szCs w:val="32"/>
          <w:u w:val="single"/>
          <w:lang w:val="en-US" w:eastAsia="zh-CN" w:bidi="ar-SA"/>
        </w:rPr>
        <w:t xml:space="preserve">                 </w:t>
      </w:r>
    </w:p>
    <w:p w14:paraId="72EB61D2">
      <w:pPr>
        <w:numPr>
          <w:ilvl w:val="0"/>
          <w:numId w:val="0"/>
        </w:numPr>
        <w:spacing w:line="360" w:lineRule="auto"/>
        <w:ind w:firstLine="643" w:firstLineChars="200"/>
        <w:rPr>
          <w:rFonts w:hint="eastAsia"/>
          <w:lang w:eastAsia="zh-CN"/>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、合同解除、变更、终止条款：</w:t>
      </w:r>
    </w:p>
    <w:p w14:paraId="0E801304">
      <w:pPr>
        <w:pStyle w:val="2"/>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 xml:space="preserve">  5.1如出现下列任意情形，相对方均有权解除合同，并要求违约方承担违约责任。</w:t>
      </w:r>
    </w:p>
    <w:p w14:paraId="1A6D00E5">
      <w:pPr>
        <w:pStyle w:val="2"/>
        <w:ind w:firstLine="64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5.1.1.</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方（付费方）未按约定支付预付款，经催告后20天仍未支付的。</w:t>
      </w:r>
    </w:p>
    <w:p w14:paraId="53117AA7">
      <w:pPr>
        <w:pStyle w:val="2"/>
        <w:ind w:firstLine="64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5.1.2 </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方（提供服务/货物方）未按约定时间提供服务/货物，经催告履行20天仍未履行的。</w:t>
      </w:r>
    </w:p>
    <w:p w14:paraId="4980D2D8">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5.1.3任意一方书面或其他方式明示不履行合同约定的。</w:t>
      </w:r>
    </w:p>
    <w:p w14:paraId="1148EA14">
      <w:pPr>
        <w:pStyle w:val="2"/>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5.2合同任意一方对约定事项需进行变更的，应双方友好协商，形成书面变更协议。</w:t>
      </w:r>
    </w:p>
    <w:p w14:paraId="24447126">
      <w:pPr>
        <w:pStyle w:val="2"/>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5.3合同约定义务双方均已经履行完毕，就所有权利义务事宜无遗留问题，合同终止。</w:t>
      </w:r>
    </w:p>
    <w:p w14:paraId="0E4E6288">
      <w:pPr>
        <w:numPr>
          <w:ilvl w:val="0"/>
          <w:numId w:val="0"/>
        </w:numPr>
        <w:spacing w:line="360" w:lineRule="auto"/>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lang w:eastAsia="zh-CN"/>
        </w:rPr>
        <w:t>、不可抗力</w:t>
      </w:r>
    </w:p>
    <w:p w14:paraId="1A6779DF">
      <w:pPr>
        <w:numPr>
          <w:ilvl w:val="0"/>
          <w:numId w:val="0"/>
        </w:numPr>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6.1因规划调整、政策调整、不可抗力等原因导致本合同提前解除的，双方互不承担违约责任。双方就合同结算后10日内，</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方应无息退还</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方履约保证金。</w:t>
      </w:r>
    </w:p>
    <w:p w14:paraId="2436B27D">
      <w:pPr>
        <w:numPr>
          <w:ilvl w:val="0"/>
          <w:numId w:val="0"/>
        </w:numPr>
        <w:spacing w:line="360" w:lineRule="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 xml:space="preserve"> 七、廉洁条款</w:t>
      </w:r>
    </w:p>
    <w:p w14:paraId="6EBAA108">
      <w:pPr>
        <w:pStyle w:val="2"/>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7.1</w:t>
      </w:r>
      <w:r>
        <w:rPr>
          <w:rFonts w:hint="default" w:ascii="仿宋_GB2312" w:hAnsi="仿宋_GB2312" w:eastAsia="仿宋_GB2312" w:cs="仿宋_GB2312"/>
          <w:color w:val="000000"/>
          <w:sz w:val="32"/>
          <w:szCs w:val="32"/>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9003C52">
      <w:pPr>
        <w:numPr>
          <w:ilvl w:val="0"/>
          <w:numId w:val="0"/>
        </w:numPr>
        <w:spacing w:line="360" w:lineRule="auto"/>
        <w:ind w:left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八、违约责任</w:t>
      </w:r>
    </w:p>
    <w:p w14:paraId="1BD2A625">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8.1 违反金钱履行义务违约责任：适用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 xml:space="preserve">   不适用</w:t>
      </w:r>
      <w:r>
        <w:rPr>
          <w:rFonts w:hint="eastAsia" w:ascii="仿宋_GB2312" w:hAnsi="仿宋_GB2312" w:eastAsia="仿宋_GB2312" w:cs="仿宋_GB2312"/>
          <w:color w:val="000000"/>
          <w:sz w:val="32"/>
          <w:szCs w:val="32"/>
          <w:lang w:val="en-US" w:eastAsia="zh-CN"/>
        </w:rPr>
        <w:sym w:font="Wingdings 2" w:char="00A3"/>
      </w:r>
    </w:p>
    <w:p w14:paraId="5650F2E7">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8.1.1若</w:t>
      </w:r>
      <w:r>
        <w:rPr>
          <w:rFonts w:hint="eastAsia" w:ascii="仿宋_GB2312" w:hAnsi="仿宋_GB2312" w:eastAsia="仿宋_GB2312" w:cs="仿宋_GB2312"/>
          <w:color w:val="000000"/>
          <w:sz w:val="32"/>
          <w:szCs w:val="32"/>
          <w:u w:val="single"/>
          <w:lang w:val="en-US" w:eastAsia="zh-CN"/>
        </w:rPr>
        <w:t xml:space="preserve">  方</w:t>
      </w:r>
      <w:r>
        <w:rPr>
          <w:rFonts w:hint="eastAsia" w:ascii="仿宋_GB2312" w:hAnsi="仿宋_GB2312" w:eastAsia="仿宋_GB2312" w:cs="仿宋_GB2312"/>
          <w:color w:val="000000"/>
          <w:sz w:val="32"/>
          <w:szCs w:val="32"/>
          <w:lang w:val="en-US" w:eastAsia="zh-CN"/>
        </w:rPr>
        <w:t>逾期支付费用，应向</w:t>
      </w:r>
      <w:r>
        <w:rPr>
          <w:rFonts w:hint="eastAsia" w:ascii="仿宋_GB2312" w:hAnsi="仿宋_GB2312" w:eastAsia="仿宋_GB2312" w:cs="仿宋_GB2312"/>
          <w:color w:val="000000"/>
          <w:sz w:val="32"/>
          <w:szCs w:val="32"/>
          <w:u w:val="single"/>
          <w:lang w:val="en-US" w:eastAsia="zh-CN"/>
        </w:rPr>
        <w:t xml:space="preserve">  方</w:t>
      </w:r>
      <w:r>
        <w:rPr>
          <w:rFonts w:hint="eastAsia" w:ascii="仿宋_GB2312" w:hAnsi="仿宋_GB2312" w:eastAsia="仿宋_GB2312" w:cs="仿宋_GB2312"/>
          <w:color w:val="000000"/>
          <w:sz w:val="32"/>
          <w:szCs w:val="32"/>
          <w:lang w:val="en-US" w:eastAsia="zh-CN"/>
        </w:rPr>
        <w:t>（另一方）以补偿应支付费用利息，利息额按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的年利率计算，期间从逾期次日至拖欠费用结清之日。</w:t>
      </w:r>
    </w:p>
    <w:p w14:paraId="3E818E58">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8.2违反其他约定义务违约责任：适用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 xml:space="preserve">   不适用</w:t>
      </w:r>
      <w:r>
        <w:rPr>
          <w:rFonts w:hint="eastAsia" w:ascii="仿宋_GB2312" w:hAnsi="仿宋_GB2312" w:eastAsia="仿宋_GB2312" w:cs="仿宋_GB2312"/>
          <w:color w:val="000000"/>
          <w:sz w:val="32"/>
          <w:szCs w:val="32"/>
          <w:lang w:val="en-US" w:eastAsia="zh-CN"/>
        </w:rPr>
        <w:sym w:font="Wingdings 2" w:char="00A3"/>
      </w:r>
    </w:p>
    <w:p w14:paraId="33150CFA">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8.2.1若任意一方违反合同约定其他义务，应按合同金额的10%</w:t>
      </w:r>
      <w:r>
        <w:rPr>
          <w:rFonts w:hint="eastAsia" w:ascii="仿宋_GB2312" w:hAnsi="仿宋_GB2312" w:eastAsia="仿宋_GB2312" w:cs="仿宋_GB2312"/>
          <w:color w:val="000000"/>
          <w:sz w:val="32"/>
          <w:szCs w:val="32"/>
          <w:u w:val="single"/>
          <w:lang w:val="en-US" w:eastAsia="zh-CN"/>
        </w:rPr>
        <w:t>（或者按     元/次）</w:t>
      </w:r>
      <w:r>
        <w:rPr>
          <w:rFonts w:hint="eastAsia" w:ascii="仿宋_GB2312" w:hAnsi="仿宋_GB2312" w:eastAsia="仿宋_GB2312" w:cs="仿宋_GB2312"/>
          <w:color w:val="000000"/>
          <w:sz w:val="32"/>
          <w:szCs w:val="32"/>
          <w:lang w:val="en-US" w:eastAsia="zh-CN"/>
        </w:rPr>
        <w:t>向相对方支付违约金，违约方支付违约金后应继续履行合同。</w:t>
      </w:r>
    </w:p>
    <w:p w14:paraId="28C9E73B">
      <w:pPr>
        <w:numPr>
          <w:ilvl w:val="0"/>
          <w:numId w:val="0"/>
        </w:numPr>
        <w:spacing w:line="360" w:lineRule="auto"/>
        <w:ind w:firstLine="320" w:firstLineChars="1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8.3 上述违约金不足以弥补相对方损失的，违约方应补足。</w:t>
      </w:r>
    </w:p>
    <w:p w14:paraId="08CDBA3A">
      <w:pPr>
        <w:numPr>
          <w:ilvl w:val="0"/>
          <w:numId w:val="0"/>
        </w:numPr>
        <w:spacing w:line="360" w:lineRule="auto"/>
        <w:ind w:firstLine="320" w:firstLineChars="1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8.4违约金先从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方（对方）履约保证金扣除，扣除后不足合同金额10%的，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方（对方）应补足履约保证金。</w:t>
      </w:r>
    </w:p>
    <w:p w14:paraId="377E13F4">
      <w:pPr>
        <w:numPr>
          <w:ilvl w:val="0"/>
          <w:numId w:val="0"/>
        </w:numPr>
        <w:spacing w:line="360" w:lineRule="auto"/>
        <w:ind w:left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九、保密条款</w:t>
      </w:r>
    </w:p>
    <w:p w14:paraId="167A6DC4">
      <w:pPr>
        <w:numPr>
          <w:ilvl w:val="0"/>
          <w:numId w:val="0"/>
        </w:numPr>
        <w:spacing w:line="360" w:lineRule="auto"/>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9.1任意一方对相对方提供的</w:t>
      </w:r>
      <w:r>
        <w:rPr>
          <w:rFonts w:hint="eastAsia" w:ascii="仿宋_GB2312" w:hAnsi="仿宋_GB2312" w:eastAsia="仿宋_GB2312" w:cs="仿宋_GB2312"/>
          <w:color w:val="FF0000"/>
          <w:sz w:val="32"/>
          <w:szCs w:val="32"/>
          <w:u w:val="single"/>
          <w:lang w:val="en-US" w:eastAsia="zh-CN"/>
        </w:rPr>
        <w:t>合作事项</w:t>
      </w:r>
      <w:r>
        <w:rPr>
          <w:rFonts w:hint="eastAsia" w:ascii="仿宋_GB2312" w:hAnsi="仿宋_GB2312" w:eastAsia="仿宋_GB2312" w:cs="仿宋_GB2312"/>
          <w:color w:val="000000"/>
          <w:sz w:val="32"/>
          <w:szCs w:val="32"/>
          <w:lang w:val="en-US" w:eastAsia="zh-CN"/>
        </w:rPr>
        <w:t>资料负有保密义务，除了</w:t>
      </w:r>
      <w:r>
        <w:rPr>
          <w:rFonts w:hint="eastAsia" w:ascii="仿宋_GB2312" w:hAnsi="仿宋_GB2312" w:eastAsia="仿宋_GB2312" w:cs="仿宋_GB2312"/>
          <w:color w:val="FF0000"/>
          <w:sz w:val="32"/>
          <w:szCs w:val="32"/>
          <w:u w:val="single"/>
          <w:lang w:val="en-US" w:eastAsia="zh-CN"/>
        </w:rPr>
        <w:t>合作事项</w:t>
      </w:r>
      <w:r>
        <w:rPr>
          <w:rFonts w:hint="eastAsia" w:ascii="仿宋_GB2312" w:hAnsi="仿宋_GB2312" w:eastAsia="仿宋_GB2312" w:cs="仿宋_GB2312"/>
          <w:color w:val="000000"/>
          <w:sz w:val="32"/>
          <w:szCs w:val="32"/>
          <w:lang w:val="en-US" w:eastAsia="zh-CN"/>
        </w:rPr>
        <w:t>开展必须向己方单位高管、公司职工以及关联会计、律师事务所等中介单位提供外，不得向任何第三方扩散、转让。如发生上述情况，违约方应承担违约责任。</w:t>
      </w:r>
    </w:p>
    <w:p w14:paraId="68F4B205">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十、通知送达</w:t>
      </w:r>
    </w:p>
    <w:p w14:paraId="0AF2C73D">
      <w:pPr>
        <w:numPr>
          <w:ilvl w:val="0"/>
          <w:numId w:val="0"/>
        </w:numPr>
        <w:spacing w:line="360" w:lineRule="auto"/>
        <w:ind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本合同所载联系方式，是甲乙双方往来文件送达地址，也是产生纠纷后司法文书送达地址。</w:t>
      </w:r>
      <w:r>
        <w:rPr>
          <w:rFonts w:hint="eastAsia" w:ascii="仿宋_GB2312" w:hAnsi="仿宋_GB2312" w:eastAsia="仿宋_GB2312" w:cs="仿宋_GB2312"/>
          <w:color w:val="000000"/>
          <w:sz w:val="32"/>
          <w:szCs w:val="32"/>
          <w:lang w:val="en-US" w:eastAsia="zh-CN"/>
        </w:rPr>
        <w:t>如任何一方通讯地址发生变更，应于变更前15日内通知另一方，否则视为未变更。</w:t>
      </w:r>
    </w:p>
    <w:p w14:paraId="232A3885">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十一、争议解决                                                        </w:t>
      </w:r>
    </w:p>
    <w:p w14:paraId="358D9D11">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11.1甲乙双方因履行合同产生纠纷，应友好协商解决，如协商不成，按</w:t>
      </w:r>
      <w:r>
        <w:rPr>
          <w:rFonts w:hint="eastAsia" w:ascii="仿宋_GB2312" w:hAnsi="仿宋_GB2312" w:eastAsia="仿宋_GB2312" w:cs="仿宋_GB2312"/>
          <w:color w:val="000000"/>
          <w:sz w:val="32"/>
          <w:szCs w:val="32"/>
          <w:u w:val="single"/>
          <w:lang w:val="en-US" w:eastAsia="zh-CN"/>
        </w:rPr>
        <w:t>第   条</w:t>
      </w:r>
      <w:r>
        <w:rPr>
          <w:rFonts w:hint="eastAsia" w:ascii="仿宋_GB2312" w:hAnsi="仿宋_GB2312" w:eastAsia="仿宋_GB2312" w:cs="仿宋_GB2312"/>
          <w:color w:val="000000"/>
          <w:sz w:val="32"/>
          <w:szCs w:val="32"/>
          <w:lang w:val="en-US" w:eastAsia="zh-CN"/>
        </w:rPr>
        <w:t>方式解决。</w:t>
      </w:r>
    </w:p>
    <w:p w14:paraId="17A97AB8">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（1）向</w:t>
      </w:r>
      <w:r>
        <w:rPr>
          <w:rFonts w:hint="eastAsia" w:ascii="仿宋_GB2312" w:hAnsi="仿宋_GB2312" w:eastAsia="仿宋_GB2312" w:cs="仿宋_GB2312"/>
          <w:color w:val="000000"/>
          <w:sz w:val="32"/>
          <w:szCs w:val="32"/>
          <w:u w:val="single"/>
          <w:lang w:val="en-US" w:eastAsia="zh-CN"/>
        </w:rPr>
        <w:t>泸州</w:t>
      </w:r>
      <w:r>
        <w:rPr>
          <w:rFonts w:hint="eastAsia" w:ascii="仿宋_GB2312" w:hAnsi="仿宋_GB2312" w:eastAsia="仿宋_GB2312" w:cs="仿宋_GB2312"/>
          <w:color w:val="000000"/>
          <w:sz w:val="32"/>
          <w:szCs w:val="32"/>
          <w:lang w:val="en-US" w:eastAsia="zh-CN"/>
        </w:rPr>
        <w:t>仲裁委仲裁裁决。</w:t>
      </w:r>
    </w:p>
    <w:p w14:paraId="49AE0E93">
      <w:pPr>
        <w:numPr>
          <w:ilvl w:val="0"/>
          <w:numId w:val="0"/>
        </w:numPr>
        <w:spacing w:line="360" w:lineRule="auto"/>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（2）向</w:t>
      </w:r>
      <w:r>
        <w:rPr>
          <w:rFonts w:hint="eastAsia" w:ascii="仿宋_GB2312" w:hAnsi="仿宋_GB2312" w:eastAsia="仿宋_GB2312" w:cs="仿宋_GB2312"/>
          <w:color w:val="000000"/>
          <w:sz w:val="32"/>
          <w:szCs w:val="32"/>
          <w:u w:val="single"/>
          <w:lang w:val="en-US" w:eastAsia="zh-CN"/>
        </w:rPr>
        <w:t xml:space="preserve">    所在</w:t>
      </w:r>
      <w:r>
        <w:rPr>
          <w:rFonts w:hint="eastAsia" w:ascii="仿宋_GB2312" w:hAnsi="仿宋_GB2312" w:eastAsia="仿宋_GB2312" w:cs="仿宋_GB2312"/>
          <w:color w:val="000000"/>
          <w:sz w:val="32"/>
          <w:szCs w:val="32"/>
          <w:lang w:val="en-US" w:eastAsia="zh-CN"/>
        </w:rPr>
        <w:t>地法院诉讼解决。</w:t>
      </w:r>
    </w:p>
    <w:p w14:paraId="31038E34">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11.2采取</w:t>
      </w:r>
      <w:r>
        <w:rPr>
          <w:rFonts w:hint="eastAsia" w:ascii="仿宋_GB2312" w:hAnsi="仿宋_GB2312" w:eastAsia="仿宋_GB2312" w:cs="仿宋_GB2312"/>
          <w:color w:val="000000"/>
          <w:sz w:val="32"/>
          <w:szCs w:val="32"/>
          <w:u w:val="none"/>
          <w:lang w:val="en-US" w:eastAsia="zh-CN"/>
        </w:rPr>
        <w:t>仲裁/诉讼</w:t>
      </w:r>
      <w:r>
        <w:rPr>
          <w:rFonts w:hint="eastAsia" w:ascii="仿宋_GB2312" w:hAnsi="仿宋_GB2312" w:eastAsia="仿宋_GB2312" w:cs="仿宋_GB2312"/>
          <w:color w:val="000000"/>
          <w:sz w:val="32"/>
          <w:szCs w:val="32"/>
          <w:lang w:val="en-US" w:eastAsia="zh-CN"/>
        </w:rPr>
        <w:t>方式解决争议的，违约方还应承担由此给相对方造成的一切经济损失，包括但不限于仲裁费、诉讼费、律师费、公告费、鉴定费等。</w:t>
      </w:r>
    </w:p>
    <w:p w14:paraId="5E4CBC32">
      <w:pPr>
        <w:numPr>
          <w:ilvl w:val="0"/>
          <w:numId w:val="0"/>
        </w:numPr>
        <w:spacing w:line="360" w:lineRule="auto"/>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十二、其他约定</w:t>
      </w:r>
    </w:p>
    <w:p w14:paraId="556510E0">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12.1甲乙双方就本合同事宜形成的附件、会议纪要等均是合同不可分割部分，对双方均有约束力。出现矛盾冲突的，以时间在后的为准。</w:t>
      </w:r>
    </w:p>
    <w:p w14:paraId="587FE631">
      <w:pPr>
        <w:numPr>
          <w:ilvl w:val="0"/>
          <w:numId w:val="0"/>
        </w:numPr>
        <w:spacing w:line="360" w:lineRule="auto"/>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none"/>
          <w:lang w:val="en-US" w:eastAsia="zh-CN"/>
        </w:rPr>
        <w:t>12.2合同未尽事宜，甲乙双方另行协商并签署补充协议。</w:t>
      </w:r>
    </w:p>
    <w:p w14:paraId="080D1EDA">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12.3本合同一式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份，甲方执</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份，乙方持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份。均具有同等的法律效力。 </w:t>
      </w:r>
    </w:p>
    <w:p w14:paraId="690A4E02">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12.4本协议自双方法定代表签章并加盖公章（捺印）之日起生效。</w:t>
      </w:r>
    </w:p>
    <w:p w14:paraId="47E30A27">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（以下无正文）</w:t>
      </w:r>
    </w:p>
    <w:p w14:paraId="7817AE00">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39C6EB43">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7423453F">
      <w:pPr>
        <w:numPr>
          <w:ilvl w:val="0"/>
          <w:numId w:val="0"/>
        </w:numPr>
        <w:spacing w:line="360" w:lineRule="auto"/>
        <w:rPr>
          <w:rFonts w:hint="eastAsia" w:ascii="仿宋_GB2312" w:hAnsi="仿宋_GB2312" w:eastAsia="仿宋_GB2312" w:cs="仿宋_GB2312"/>
          <w:color w:val="000000"/>
          <w:sz w:val="32"/>
          <w:szCs w:val="32"/>
          <w:lang w:val="en-US" w:eastAsia="zh-CN"/>
        </w:rPr>
      </w:pPr>
    </w:p>
    <w:p w14:paraId="6D35D069">
      <w:pPr>
        <w:pStyle w:val="2"/>
        <w:rPr>
          <w:rFonts w:hint="eastAsia" w:ascii="仿宋_GB2312" w:hAnsi="仿宋_GB2312" w:eastAsia="仿宋_GB2312" w:cs="仿宋_GB2312"/>
          <w:color w:val="000000"/>
          <w:sz w:val="32"/>
          <w:szCs w:val="32"/>
          <w:lang w:val="en-US" w:eastAsia="zh-CN"/>
        </w:rPr>
      </w:pPr>
    </w:p>
    <w:p w14:paraId="00842E67">
      <w:pPr>
        <w:pStyle w:val="2"/>
        <w:rPr>
          <w:rFonts w:hint="eastAsia" w:ascii="仿宋_GB2312" w:hAnsi="仿宋_GB2312" w:eastAsia="仿宋_GB2312" w:cs="仿宋_GB2312"/>
          <w:color w:val="000000"/>
          <w:sz w:val="32"/>
          <w:szCs w:val="32"/>
          <w:lang w:val="en-US" w:eastAsia="zh-CN"/>
        </w:rPr>
      </w:pPr>
    </w:p>
    <w:p w14:paraId="4308DC3B">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（本页为签署页）</w:t>
      </w:r>
    </w:p>
    <w:p w14:paraId="352EF3DA">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甲方（签章/签字捺印）：</w:t>
      </w:r>
    </w:p>
    <w:p w14:paraId="20EB6BFD">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17084CB6">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6942A24C">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乙方（签章/签字捺印）：</w:t>
      </w:r>
    </w:p>
    <w:p w14:paraId="241F6293">
      <w:pPr>
        <w:rPr>
          <w:rFonts w:eastAsia="黑体"/>
          <w:color w:val="auto"/>
          <w:highlight w:val="none"/>
        </w:rPr>
      </w:pPr>
      <w:r>
        <w:rPr>
          <w:rFonts w:hint="eastAsia"/>
          <w:color w:val="auto"/>
          <w:highlight w:val="none"/>
        </w:rPr>
        <w:t xml:space="preserve">                             </w:t>
      </w:r>
    </w:p>
    <w:p w14:paraId="371BF1D8">
      <w:pPr>
        <w:rPr>
          <w:rFonts w:eastAsia="黑体"/>
          <w:color w:val="auto"/>
          <w:highlight w:val="none"/>
        </w:rPr>
      </w:pPr>
      <w:r>
        <w:rPr>
          <w:rFonts w:hint="eastAsia"/>
          <w:color w:val="auto"/>
          <w:highlight w:val="none"/>
        </w:rPr>
        <w:t xml:space="preserve">                                </w:t>
      </w:r>
    </w:p>
    <w:permEnd w:id="69"/>
    <w:p w14:paraId="7840A1D1"/>
    <w:sectPr>
      <w:headerReference r:id="rId23" w:type="first"/>
      <w:headerReference r:id="rId21" w:type="default"/>
      <w:footerReference r:id="rId24" w:type="default"/>
      <w:headerReference r:id="rId22"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1"/>
      <w:framePr w:wrap="around" w:vAnchor="text" w:hAnchor="margin" w:xAlign="outside" w:y="1"/>
      <w:rPr>
        <w:rStyle w:val="21"/>
      </w:rPr>
    </w:pPr>
    <w:r>
      <w:fldChar w:fldCharType="begin"/>
    </w:r>
    <w:r>
      <w:rPr>
        <w:rStyle w:val="21"/>
      </w:rPr>
      <w:instrText xml:space="preserve">PAGE  </w:instrText>
    </w:r>
    <w:r>
      <w:fldChar w:fldCharType="end"/>
    </w:r>
  </w:p>
  <w:p w14:paraId="76426FF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1"/>
      <w:rPr>
        <w:sz w:val="21"/>
        <w:szCs w:val="21"/>
      </w:rPr>
    </w:pPr>
    <w:r>
      <w:rPr>
        <w:sz w:val="21"/>
      </w:rPr>
      <w:pict>
        <v:shape id="文本框 1051" o:spid="_x0000_s410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5594E10">
                <w:pPr>
                  <w:pStyle w:val="11"/>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C886">
    <w:pPr>
      <w:pStyle w:val="12"/>
      <w:pBdr>
        <w:bottom w:val="none" w:color="auto" w:sz="0" w:space="1"/>
      </w:pBdr>
      <w:rPr>
        <w:rFonts w:hint="default"/>
        <w:lang w:val="en-US"/>
      </w:rPr>
    </w:pPr>
    <w:r>
      <w:rPr>
        <w:rFonts w:hint="eastAsia"/>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2"/>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2"/>
    </w:pPr>
    <w:r>
      <w:pict>
        <v:shape id="PowerPlusWaterMarkObject198093790" o:spid="_x0000_s410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2"/>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2"/>
    </w:pPr>
    <w:r>
      <w:pict>
        <v:shape id="PowerPlusWaterMarkObject198093785" o:spid="_x0000_s4101"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2"/>
    </w:pPr>
    <w:r>
      <w:pict>
        <v:shape id="PowerPlusWaterMarkObject198093788" o:spid="_x0000_s411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2"/>
    </w:pPr>
    <w:r>
      <w:pict>
        <v:shape id="PowerPlusWaterMarkObject198093787" o:spid="_x0000_s411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dit="readOnly" w:enforcement="1" w:cryptProviderType="rsaFull" w:cryptAlgorithmClass="hash" w:cryptAlgorithmType="typeAny" w:cryptAlgorithmSid="4" w:cryptSpinCount="0" w:hash="fiaW+4BsBDjERHWA7dSfyKk5cXs=" w:salt="ShpUcjphtc1lz3TRPaAfO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DM3NTY5MWZkMmE5NzhmNGVmMGYxMjkxMDUzMzkifQ=="/>
  </w:docVars>
  <w:rsids>
    <w:rsidRoot w:val="4D880AC1"/>
    <w:rsid w:val="00E60A9C"/>
    <w:rsid w:val="0232372D"/>
    <w:rsid w:val="02F70D3E"/>
    <w:rsid w:val="04133956"/>
    <w:rsid w:val="049251C3"/>
    <w:rsid w:val="049820AD"/>
    <w:rsid w:val="0523406D"/>
    <w:rsid w:val="05CA44E8"/>
    <w:rsid w:val="06224324"/>
    <w:rsid w:val="068E5516"/>
    <w:rsid w:val="07E9545C"/>
    <w:rsid w:val="094D2D64"/>
    <w:rsid w:val="09650410"/>
    <w:rsid w:val="099077F7"/>
    <w:rsid w:val="09AF5ECF"/>
    <w:rsid w:val="0A037FC9"/>
    <w:rsid w:val="0A1B5312"/>
    <w:rsid w:val="0B016BFE"/>
    <w:rsid w:val="0B2226D0"/>
    <w:rsid w:val="0CBE467B"/>
    <w:rsid w:val="0D186481"/>
    <w:rsid w:val="0D2642A9"/>
    <w:rsid w:val="0E1E3623"/>
    <w:rsid w:val="0E372937"/>
    <w:rsid w:val="0ED10695"/>
    <w:rsid w:val="0EEF3211"/>
    <w:rsid w:val="0F59068B"/>
    <w:rsid w:val="0FB83603"/>
    <w:rsid w:val="109E6C9D"/>
    <w:rsid w:val="126E2A40"/>
    <w:rsid w:val="131D659F"/>
    <w:rsid w:val="14553B17"/>
    <w:rsid w:val="145C30F7"/>
    <w:rsid w:val="151614F8"/>
    <w:rsid w:val="15282FD9"/>
    <w:rsid w:val="15BA6327"/>
    <w:rsid w:val="166938A9"/>
    <w:rsid w:val="17602EFE"/>
    <w:rsid w:val="18860743"/>
    <w:rsid w:val="18AF5EEB"/>
    <w:rsid w:val="18E330A5"/>
    <w:rsid w:val="1A116732"/>
    <w:rsid w:val="1A1F2BFD"/>
    <w:rsid w:val="1A8A3DEE"/>
    <w:rsid w:val="1ABD5F72"/>
    <w:rsid w:val="1AE6371B"/>
    <w:rsid w:val="1B097409"/>
    <w:rsid w:val="1B7F1479"/>
    <w:rsid w:val="1BE107B4"/>
    <w:rsid w:val="1C66257E"/>
    <w:rsid w:val="1D4B5AB7"/>
    <w:rsid w:val="1D59522A"/>
    <w:rsid w:val="1D6B43AB"/>
    <w:rsid w:val="1D8629D2"/>
    <w:rsid w:val="1DA653E3"/>
    <w:rsid w:val="1EC91389"/>
    <w:rsid w:val="1F067C7E"/>
    <w:rsid w:val="1FB77434"/>
    <w:rsid w:val="1FF02946"/>
    <w:rsid w:val="20925953"/>
    <w:rsid w:val="218B501C"/>
    <w:rsid w:val="24B86128"/>
    <w:rsid w:val="257B11A1"/>
    <w:rsid w:val="25BA7C7E"/>
    <w:rsid w:val="263B7010"/>
    <w:rsid w:val="267442D0"/>
    <w:rsid w:val="27084A19"/>
    <w:rsid w:val="28125B4F"/>
    <w:rsid w:val="2934335E"/>
    <w:rsid w:val="29B06C10"/>
    <w:rsid w:val="29FA4AED"/>
    <w:rsid w:val="2A2B739C"/>
    <w:rsid w:val="2A3B4E26"/>
    <w:rsid w:val="2AA84549"/>
    <w:rsid w:val="2AF459E0"/>
    <w:rsid w:val="2B8925CC"/>
    <w:rsid w:val="2CF77A09"/>
    <w:rsid w:val="2D235BE0"/>
    <w:rsid w:val="2D8D7A26"/>
    <w:rsid w:val="2DA21448"/>
    <w:rsid w:val="2E580034"/>
    <w:rsid w:val="2EE72C37"/>
    <w:rsid w:val="2F9B467C"/>
    <w:rsid w:val="30A25EDE"/>
    <w:rsid w:val="30A47560"/>
    <w:rsid w:val="31126BC0"/>
    <w:rsid w:val="315076E8"/>
    <w:rsid w:val="31AD68E8"/>
    <w:rsid w:val="31CF685F"/>
    <w:rsid w:val="33A1422B"/>
    <w:rsid w:val="33AB50A9"/>
    <w:rsid w:val="342C61EA"/>
    <w:rsid w:val="346040E6"/>
    <w:rsid w:val="34802092"/>
    <w:rsid w:val="362743DC"/>
    <w:rsid w:val="3679323D"/>
    <w:rsid w:val="369C0F5C"/>
    <w:rsid w:val="36D36DF1"/>
    <w:rsid w:val="37144D14"/>
    <w:rsid w:val="37313B18"/>
    <w:rsid w:val="37373CAC"/>
    <w:rsid w:val="378620B5"/>
    <w:rsid w:val="38F82B3F"/>
    <w:rsid w:val="39240CC5"/>
    <w:rsid w:val="393022D9"/>
    <w:rsid w:val="398919E9"/>
    <w:rsid w:val="3A396F6B"/>
    <w:rsid w:val="3ACA050B"/>
    <w:rsid w:val="3B43025B"/>
    <w:rsid w:val="3BBD3BCC"/>
    <w:rsid w:val="3C8A61A4"/>
    <w:rsid w:val="3C8D359E"/>
    <w:rsid w:val="3D69400B"/>
    <w:rsid w:val="3D7D7AB7"/>
    <w:rsid w:val="3DD07BE6"/>
    <w:rsid w:val="3DFA1107"/>
    <w:rsid w:val="3E681B51"/>
    <w:rsid w:val="400C0C7E"/>
    <w:rsid w:val="412F10C8"/>
    <w:rsid w:val="41405083"/>
    <w:rsid w:val="427F1BDB"/>
    <w:rsid w:val="42B23D5F"/>
    <w:rsid w:val="42CC0EE3"/>
    <w:rsid w:val="43CC52F4"/>
    <w:rsid w:val="442E5667"/>
    <w:rsid w:val="44780FD8"/>
    <w:rsid w:val="44A41DCD"/>
    <w:rsid w:val="4517259F"/>
    <w:rsid w:val="451900C5"/>
    <w:rsid w:val="45294080"/>
    <w:rsid w:val="45596713"/>
    <w:rsid w:val="457572C5"/>
    <w:rsid w:val="45EE77A4"/>
    <w:rsid w:val="460D5750"/>
    <w:rsid w:val="463827CD"/>
    <w:rsid w:val="47176886"/>
    <w:rsid w:val="479C6A6B"/>
    <w:rsid w:val="47B916EB"/>
    <w:rsid w:val="49262DB0"/>
    <w:rsid w:val="4BD40FB4"/>
    <w:rsid w:val="4D4E0B28"/>
    <w:rsid w:val="4D880AC1"/>
    <w:rsid w:val="4DCF6EBD"/>
    <w:rsid w:val="4E3B699B"/>
    <w:rsid w:val="4E826B08"/>
    <w:rsid w:val="4EF63225"/>
    <w:rsid w:val="4F6463E1"/>
    <w:rsid w:val="4FCA0BBF"/>
    <w:rsid w:val="508D5E0B"/>
    <w:rsid w:val="5095081C"/>
    <w:rsid w:val="50E21CB3"/>
    <w:rsid w:val="510A2FB8"/>
    <w:rsid w:val="51366360"/>
    <w:rsid w:val="52263E21"/>
    <w:rsid w:val="528F19C6"/>
    <w:rsid w:val="53A25729"/>
    <w:rsid w:val="54AA6F8B"/>
    <w:rsid w:val="5520724E"/>
    <w:rsid w:val="55326F81"/>
    <w:rsid w:val="55A0213D"/>
    <w:rsid w:val="55AA4962"/>
    <w:rsid w:val="563034C0"/>
    <w:rsid w:val="56B934B6"/>
    <w:rsid w:val="588D7D27"/>
    <w:rsid w:val="59A73A9A"/>
    <w:rsid w:val="59CE54CA"/>
    <w:rsid w:val="5A056A12"/>
    <w:rsid w:val="5A5534F6"/>
    <w:rsid w:val="5A6C4CE3"/>
    <w:rsid w:val="5B4377F2"/>
    <w:rsid w:val="5BA04C44"/>
    <w:rsid w:val="5BFF1759"/>
    <w:rsid w:val="5C121D1A"/>
    <w:rsid w:val="5D0465CF"/>
    <w:rsid w:val="5D647EF4"/>
    <w:rsid w:val="5DBC3340"/>
    <w:rsid w:val="5E6F6B50"/>
    <w:rsid w:val="5E77441B"/>
    <w:rsid w:val="5E954808"/>
    <w:rsid w:val="5EFF6126"/>
    <w:rsid w:val="5F2D2C93"/>
    <w:rsid w:val="5F4D6E91"/>
    <w:rsid w:val="600F4147"/>
    <w:rsid w:val="60402552"/>
    <w:rsid w:val="60A01243"/>
    <w:rsid w:val="61483DB4"/>
    <w:rsid w:val="61693D2A"/>
    <w:rsid w:val="62051CA5"/>
    <w:rsid w:val="62AD7C47"/>
    <w:rsid w:val="6384309D"/>
    <w:rsid w:val="643248A8"/>
    <w:rsid w:val="646A2293"/>
    <w:rsid w:val="64922644"/>
    <w:rsid w:val="64A55079"/>
    <w:rsid w:val="64D83934"/>
    <w:rsid w:val="6518584B"/>
    <w:rsid w:val="65442AE4"/>
    <w:rsid w:val="657B402C"/>
    <w:rsid w:val="6598698C"/>
    <w:rsid w:val="6639016F"/>
    <w:rsid w:val="664B7EA3"/>
    <w:rsid w:val="6712451C"/>
    <w:rsid w:val="671B5AC7"/>
    <w:rsid w:val="674E7656"/>
    <w:rsid w:val="679C6C08"/>
    <w:rsid w:val="68774F7F"/>
    <w:rsid w:val="68CA50AF"/>
    <w:rsid w:val="6A9736B6"/>
    <w:rsid w:val="6C7A7069"/>
    <w:rsid w:val="6CD504C6"/>
    <w:rsid w:val="6CE2561C"/>
    <w:rsid w:val="6F0926A9"/>
    <w:rsid w:val="6F175262"/>
    <w:rsid w:val="6F525DFE"/>
    <w:rsid w:val="703D085C"/>
    <w:rsid w:val="709B37D5"/>
    <w:rsid w:val="70DA60AB"/>
    <w:rsid w:val="730218E9"/>
    <w:rsid w:val="731F06ED"/>
    <w:rsid w:val="73E55492"/>
    <w:rsid w:val="73F531FC"/>
    <w:rsid w:val="75023E22"/>
    <w:rsid w:val="760F2C9B"/>
    <w:rsid w:val="76164029"/>
    <w:rsid w:val="76D37824"/>
    <w:rsid w:val="77226C5A"/>
    <w:rsid w:val="77562203"/>
    <w:rsid w:val="786F17CF"/>
    <w:rsid w:val="7A434CC1"/>
    <w:rsid w:val="7AB14679"/>
    <w:rsid w:val="7C3A0345"/>
    <w:rsid w:val="7C5238E1"/>
    <w:rsid w:val="7C7E46D6"/>
    <w:rsid w:val="7D2E7EAA"/>
    <w:rsid w:val="7D8555F0"/>
    <w:rsid w:val="7DFB5A6F"/>
    <w:rsid w:val="7E085548"/>
    <w:rsid w:val="7EBC3294"/>
    <w:rsid w:val="7F062761"/>
    <w:rsid w:val="7F551D18"/>
    <w:rsid w:val="7F7B314F"/>
    <w:rsid w:val="7F9A1827"/>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7"/>
    <w:pPr>
      <w:keepNext/>
      <w:keepLines/>
      <w:outlineLvl w:val="0"/>
    </w:pPr>
    <w:rPr>
      <w:b/>
      <w:sz w:val="44"/>
      <w:szCs w:val="44"/>
    </w:rPr>
  </w:style>
  <w:style w:type="paragraph" w:styleId="4">
    <w:name w:val="heading 2"/>
    <w:basedOn w:val="1"/>
    <w:next w:val="1"/>
    <w:qFormat/>
    <w:uiPriority w:val="8"/>
    <w:pPr>
      <w:keepNext/>
      <w:keepLines/>
      <w:outlineLvl w:val="1"/>
    </w:pPr>
    <w:rPr>
      <w:rFonts w:ascii="Arial" w:hAnsi="Arial" w:eastAsia="黑体"/>
      <w:b/>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unhideWhenUsed/>
    <w:qFormat/>
    <w:uiPriority w:val="0"/>
    <w:pPr>
      <w:ind w:firstLine="420"/>
    </w:pPr>
  </w:style>
  <w:style w:type="paragraph" w:styleId="7">
    <w:name w:val="annotation text"/>
    <w:basedOn w:val="1"/>
    <w:qFormat/>
    <w:uiPriority w:val="0"/>
    <w:pPr>
      <w:jc w:val="left"/>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rPr>
      <w:rFonts w:ascii="Courier New" w:hAnsi="Courier New" w:eastAsia="Courier New"/>
      <w:sz w:val="20"/>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qFormat/>
    <w:uiPriority w:val="0"/>
    <w:pPr>
      <w:tabs>
        <w:tab w:val="left" w:pos="9000"/>
      </w:tabs>
      <w:ind w:firstLine="420" w:firstLineChars="100"/>
    </w:pPr>
    <w:rPr>
      <w:szCs w:val="21"/>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5"/>
    <w:qFormat/>
    <w:uiPriority w:val="9"/>
    <w:rPr>
      <w:b/>
      <w:bCs/>
      <w:sz w:val="32"/>
      <w:szCs w:val="32"/>
    </w:rPr>
  </w:style>
  <w:style w:type="character" w:customStyle="1" w:styleId="31">
    <w:name w:val="font51"/>
    <w:basedOn w:val="19"/>
    <w:qFormat/>
    <w:uiPriority w:val="0"/>
    <w:rPr>
      <w:rFonts w:hint="eastAsia" w:ascii="仿宋_GB2312" w:eastAsia="仿宋_GB2312" w:cs="仿宋_GB2312"/>
      <w:color w:val="000000"/>
      <w:sz w:val="28"/>
      <w:szCs w:val="28"/>
      <w:u w:val="none"/>
    </w:rPr>
  </w:style>
  <w:style w:type="character" w:customStyle="1" w:styleId="32">
    <w:name w:val="font161"/>
    <w:basedOn w:val="19"/>
    <w:qFormat/>
    <w:uiPriority w:val="0"/>
    <w:rPr>
      <w:rFonts w:hint="eastAsia" w:ascii="宋体" w:hAnsi="宋体" w:eastAsia="宋体" w:cs="宋体"/>
      <w:color w:val="000000"/>
      <w:sz w:val="28"/>
      <w:szCs w:val="28"/>
      <w:u w:val="none"/>
    </w:rPr>
  </w:style>
  <w:style w:type="character" w:customStyle="1" w:styleId="33">
    <w:name w:val="font81"/>
    <w:basedOn w:val="19"/>
    <w:qFormat/>
    <w:uiPriority w:val="0"/>
    <w:rPr>
      <w:rFonts w:hint="eastAsia" w:ascii="仿宋_GB2312" w:eastAsia="仿宋_GB2312" w:cs="仿宋_GB2312"/>
      <w:color w:val="000000"/>
      <w:sz w:val="24"/>
      <w:szCs w:val="24"/>
      <w:u w:val="none"/>
    </w:rPr>
  </w:style>
  <w:style w:type="character" w:customStyle="1" w:styleId="34">
    <w:name w:val="font112"/>
    <w:basedOn w:val="19"/>
    <w:qFormat/>
    <w:uiPriority w:val="0"/>
    <w:rPr>
      <w:rFonts w:hint="eastAsia" w:ascii="宋体" w:hAnsi="宋体" w:eastAsia="宋体" w:cs="宋体"/>
      <w:color w:val="000000"/>
      <w:sz w:val="24"/>
      <w:szCs w:val="24"/>
      <w:u w:val="none"/>
    </w:rPr>
  </w:style>
  <w:style w:type="character" w:customStyle="1" w:styleId="35">
    <w:name w:val="font61"/>
    <w:basedOn w:val="19"/>
    <w:qFormat/>
    <w:uiPriority w:val="0"/>
    <w:rPr>
      <w:rFonts w:hint="eastAsia" w:ascii="仿宋_GB2312" w:eastAsia="仿宋_GB2312" w:cs="仿宋_GB2312"/>
      <w:color w:val="000000"/>
      <w:sz w:val="24"/>
      <w:szCs w:val="24"/>
      <w:u w:val="none"/>
    </w:rPr>
  </w:style>
  <w:style w:type="character" w:customStyle="1" w:styleId="36">
    <w:name w:val="标题 1 Char"/>
    <w:link w:val="3"/>
    <w:qFormat/>
    <w:uiPriority w:val="0"/>
    <w:rPr>
      <w:b/>
      <w:sz w:val="44"/>
      <w:szCs w:val="44"/>
    </w:rPr>
  </w:style>
  <w:style w:type="paragraph" w:customStyle="1" w:styleId="37">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 w:type="paragraph" w:styleId="38">
    <w:name w:val="List Paragraph"/>
    <w:basedOn w:val="1"/>
    <w:qFormat/>
    <w:uiPriority w:val="1"/>
    <w:pPr>
      <w:ind w:firstLine="420" w:firstLineChars="200"/>
    </w:pPr>
    <w:rPr>
      <w:rFonts w:ascii="Calibri" w:hAnsi="Calibri"/>
      <w:szCs w:val="22"/>
    </w:rPr>
  </w:style>
  <w:style w:type="paragraph" w:customStyle="1" w:styleId="39">
    <w:name w:val="样式 首行缩进:  2 字符"/>
    <w:basedOn w:val="1"/>
    <w:qFormat/>
    <w:uiPriority w:val="0"/>
    <w:pPr>
      <w:ind w:firstLine="200"/>
    </w:pPr>
    <w:rPr>
      <w:rFonts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4101"/>
    <customShpInfo spid="_x0000_s4111"/>
    <customShpInfo spid="_x0000_s4110"/>
    <customShpInfo spid="_x0000_s4106" textRotate="1"/>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33365</Words>
  <Characters>36650</Characters>
  <Lines>0</Lines>
  <Paragraphs>0</Paragraphs>
  <TotalTime>40</TotalTime>
  <ScaleCrop>false</ScaleCrop>
  <LinksUpToDate>false</LinksUpToDate>
  <CharactersWithSpaces>38010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2024-11-28T06:43:00Z</dcterms:created>
  <dc:creator>多余的青丝</dc:creator>
  <cp:lastModifiedBy>多余的青丝</cp:lastModifiedBy>
  <dcterms:modified xsi:type="dcterms:W3CDTF">2025-09-25T09:17:14Z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8C65F08F12D4459C980121E4D59308CB_13</vt:lpwstr>
  </property>
  <property fmtid="{D5CDD505-2E9C-101B-9397-08002B2CF9AE}" pid="4" name="KSOTemplateDocerSaveRecord">
    <vt:lpwstr>eyJoZGlkIjoiNWU3ZGVhZDlkYjk0ZmYzZTYwZTBkYTFkZGU1ODQ4ZTkiLCJ1c2VySWQiOiI2NzYxODk0In0=</vt:lpwstr>
  </property>
</Properties>
</file>