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ZBBJL【2025】002</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lang w:val="en-US" w:eastAsia="zh-CN"/>
        </w:rPr>
      </w:pPr>
      <w:r>
        <w:rPr>
          <w:rFonts w:hint="eastAsia" w:ascii="宋体"/>
          <w:b/>
          <w:color w:val="auto"/>
          <w:sz w:val="52"/>
          <w:szCs w:val="52"/>
          <w:highlight w:val="none"/>
          <w:lang w:eastAsia="zh-CN"/>
        </w:rPr>
        <w:t>张坝滨江路景观工程</w:t>
      </w:r>
      <w:r>
        <w:rPr>
          <w:rFonts w:hint="eastAsia" w:ascii="宋体"/>
          <w:b/>
          <w:color w:val="auto"/>
          <w:sz w:val="52"/>
          <w:szCs w:val="52"/>
          <w:highlight w:val="none"/>
          <w:lang w:val="en-US" w:eastAsia="zh-CN"/>
        </w:rPr>
        <w:t>PPP</w:t>
      </w:r>
    </w:p>
    <w:p>
      <w:pPr>
        <w:spacing w:line="360" w:lineRule="auto"/>
        <w:jc w:val="center"/>
        <w:rPr>
          <w:rFonts w:hint="eastAsia" w:ascii="宋体"/>
          <w:b/>
          <w:color w:val="auto"/>
          <w:sz w:val="52"/>
          <w:szCs w:val="52"/>
          <w:highlight w:val="none"/>
        </w:rPr>
      </w:pPr>
      <w:r>
        <w:rPr>
          <w:rFonts w:hint="eastAsia" w:ascii="宋体"/>
          <w:b/>
          <w:color w:val="auto"/>
          <w:sz w:val="52"/>
          <w:szCs w:val="52"/>
          <w:highlight w:val="none"/>
          <w:lang w:eastAsia="zh-CN"/>
        </w:rPr>
        <w:t>地下供水管网探漏维修</w:t>
      </w:r>
      <w:r>
        <w:rPr>
          <w:rFonts w:hint="eastAsia" w:ascii="宋体"/>
          <w:b/>
          <w:color w:val="auto"/>
          <w:sz w:val="52"/>
          <w:szCs w:val="52"/>
          <w:highlight w:val="none"/>
        </w:rPr>
        <w:t>采购项目</w:t>
      </w:r>
    </w:p>
    <w:p>
      <w:pPr>
        <w:pStyle w:val="3"/>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泸州鼎商工程管理服务有限公司</w:t>
      </w:r>
      <w:r>
        <w:rPr>
          <w:b/>
          <w:color w:val="auto"/>
          <w:sz w:val="32"/>
          <w:szCs w:val="32"/>
          <w:highlight w:val="none"/>
        </w:rPr>
        <w:t>编制</w:t>
      </w:r>
    </w:p>
    <w:p>
      <w:pPr>
        <w:spacing w:line="360" w:lineRule="auto"/>
        <w:jc w:val="center"/>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
    <w:p>
      <w:pPr>
        <w:spacing w:before="120" w:beforeLines="50" w:after="360" w:afterLines="150"/>
        <w:jc w:val="both"/>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4413"/>
      <w:bookmarkStart w:id="3" w:name="_Toc91771146"/>
    </w:p>
    <w:p>
      <w:pPr>
        <w:spacing w:before="120" w:beforeLines="50" w:after="360" w:afterLines="150"/>
        <w:jc w:val="center"/>
        <w:outlineLvl w:val="0"/>
        <w:rPr>
          <w:rFonts w:hint="eastAsia" w:ascii="黑体" w:hAnsi="黑体" w:eastAsia="黑体"/>
          <w:color w:val="auto"/>
          <w:sz w:val="36"/>
          <w:highlight w:val="none"/>
        </w:rPr>
      </w:pPr>
      <w:r>
        <w:rPr>
          <w:rFonts w:hint="eastAsia" w:ascii="黑体" w:hAnsi="黑体" w:eastAsia="黑体"/>
          <w:color w:val="auto"/>
          <w:sz w:val="36"/>
          <w:highlight w:val="none"/>
        </w:rPr>
        <w:t>第一章 询价邀请公告</w:t>
      </w:r>
      <w:bookmarkEnd w:id="2"/>
      <w:bookmarkEnd w:id="3"/>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eastAsia="zh-CN"/>
        </w:rPr>
        <w:t>张坝滨江路景观工程</w:t>
      </w:r>
      <w:r>
        <w:rPr>
          <w:rFonts w:hint="eastAsia"/>
          <w:bCs/>
          <w:color w:val="auto"/>
          <w:sz w:val="24"/>
          <w:highlight w:val="none"/>
          <w:u w:val="single"/>
          <w:lang w:val="en-US" w:eastAsia="zh-CN"/>
        </w:rPr>
        <w:t>PPP项目地下供水管网探漏维修采购</w:t>
      </w:r>
      <w:r>
        <w:rPr>
          <w:color w:val="auto"/>
          <w:sz w:val="24"/>
          <w:szCs w:val="32"/>
          <w:highlight w:val="none"/>
          <w:u w:val="single"/>
        </w:rPr>
        <w:t>项目</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ZBBJL【2025】002</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张坝滨江路景观工程</w:t>
      </w:r>
      <w:r>
        <w:rPr>
          <w:rFonts w:hint="eastAsia"/>
          <w:color w:val="auto"/>
          <w:sz w:val="24"/>
          <w:highlight w:val="none"/>
          <w:lang w:val="en-US" w:eastAsia="zh-CN"/>
        </w:rPr>
        <w:t>PPP项目地下供水管网探漏维修采购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eastAsia="zh-CN"/>
        </w:rPr>
        <w:t>泸州鼎商工程管理服务有限公司</w:t>
      </w:r>
      <w:r>
        <w:rPr>
          <w:color w:val="auto"/>
          <w:sz w:val="24"/>
          <w:highlight w:val="none"/>
        </w:rPr>
        <w:t>。</w:t>
      </w:r>
    </w:p>
    <w:p>
      <w:pPr>
        <w:spacing w:line="360" w:lineRule="auto"/>
        <w:ind w:firstLine="480" w:firstLineChars="200"/>
        <w:rPr>
          <w:rFonts w:hint="eastAsia" w:eastAsia="宋体"/>
          <w:color w:val="000000" w:themeColor="text1"/>
          <w:sz w:val="24"/>
          <w:highlight w:val="none"/>
          <w:shd w:val="clear" w:color="FFFFFF" w:fill="D9D9D9"/>
          <w:lang w:eastAsia="zh-CN"/>
          <w14:textFill>
            <w14:solidFill>
              <w14:schemeClr w14:val="tx1"/>
            </w14:solidFill>
          </w14:textFill>
        </w:rPr>
      </w:pPr>
      <w:r>
        <w:rPr>
          <w:color w:val="auto"/>
          <w:sz w:val="24"/>
          <w:highlight w:val="none"/>
        </w:rPr>
        <w:t>4.服务期限（工期）：</w:t>
      </w:r>
      <w:r>
        <w:rPr>
          <w:rFonts w:hint="eastAsia"/>
          <w:color w:val="auto"/>
          <w:sz w:val="24"/>
          <w:highlight w:val="none"/>
          <w:lang w:eastAsia="zh-CN"/>
        </w:rPr>
        <w:t>成交合同签订之日起30个工作日内验收合格。</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default" w:eastAsia="宋体"/>
          <w:b w:val="0"/>
          <w:bCs w:val="0"/>
          <w:color w:val="auto"/>
          <w:sz w:val="24"/>
          <w:highlight w:val="none"/>
          <w:lang w:val="en-US" w:eastAsia="zh-CN"/>
        </w:rPr>
      </w:pPr>
      <w:r>
        <w:rPr>
          <w:color w:val="auto"/>
          <w:sz w:val="24"/>
          <w:highlight w:val="none"/>
        </w:rPr>
        <w:t>资金来源：</w:t>
      </w:r>
      <w:r>
        <w:rPr>
          <w:rFonts w:hint="eastAsia"/>
          <w:color w:val="auto"/>
          <w:sz w:val="24"/>
          <w:highlight w:val="none"/>
          <w:lang w:val="en-US" w:eastAsia="zh-CN"/>
        </w:rPr>
        <w:t>PPP融资</w:t>
      </w:r>
      <w:r>
        <w:rPr>
          <w:color w:val="auto"/>
          <w:sz w:val="24"/>
          <w:highlight w:val="none"/>
        </w:rPr>
        <w:t>资金</w:t>
      </w:r>
      <w:r>
        <w:rPr>
          <w:rFonts w:hint="eastAsia"/>
          <w:color w:val="auto"/>
          <w:sz w:val="24"/>
          <w:highlight w:val="none"/>
          <w:lang w:val="en-US" w:eastAsia="zh-CN"/>
        </w:rPr>
        <w:t>，最高限价为160550.00元。</w:t>
      </w:r>
    </w:p>
    <w:p>
      <w:pPr>
        <w:spacing w:line="360" w:lineRule="auto"/>
        <w:ind w:firstLine="482" w:firstLineChars="200"/>
        <w:rPr>
          <w:b/>
          <w:color w:val="auto"/>
          <w:sz w:val="24"/>
          <w:highlight w:val="none"/>
        </w:rPr>
      </w:pPr>
      <w:r>
        <w:rPr>
          <w:b/>
          <w:color w:val="auto"/>
          <w:sz w:val="24"/>
          <w:highlight w:val="none"/>
        </w:rPr>
        <w:t>三、采购项目简介：</w:t>
      </w:r>
    </w:p>
    <w:p>
      <w:pPr>
        <w:spacing w:line="360" w:lineRule="auto"/>
        <w:ind w:firstLine="480" w:firstLineChars="200"/>
        <w:rPr>
          <w:rFonts w:hint="default" w:eastAsia="宋体"/>
          <w:b w:val="0"/>
          <w:bCs/>
          <w:color w:val="auto"/>
          <w:sz w:val="24"/>
          <w:highlight w:val="none"/>
          <w:lang w:val="en-US" w:eastAsia="zh-CN"/>
        </w:rPr>
      </w:pPr>
      <w:r>
        <w:rPr>
          <w:rFonts w:hint="eastAsia"/>
          <w:b w:val="0"/>
          <w:bCs/>
          <w:color w:val="auto"/>
          <w:sz w:val="24"/>
          <w:highlight w:val="none"/>
        </w:rPr>
        <w:t>张坝滨江路景观工程PPP项目</w:t>
      </w:r>
      <w:r>
        <w:rPr>
          <w:rFonts w:hint="eastAsia"/>
          <w:b w:val="0"/>
          <w:bCs/>
          <w:color w:val="auto"/>
          <w:sz w:val="24"/>
          <w:highlight w:val="none"/>
          <w:lang w:eastAsia="zh-CN"/>
        </w:rPr>
        <w:t>地下供水管网漏水，需检测、精准定位漏水点，并维修修复</w:t>
      </w:r>
      <w:r>
        <w:rPr>
          <w:rFonts w:hint="eastAsia"/>
          <w:b w:val="0"/>
          <w:bCs/>
          <w:color w:val="auto"/>
          <w:sz w:val="24"/>
          <w:highlight w:val="none"/>
        </w:rPr>
        <w:t>。</w:t>
      </w:r>
      <w:r>
        <w:rPr>
          <w:rFonts w:hint="eastAsia"/>
          <w:b w:val="0"/>
          <w:bCs/>
          <w:color w:val="auto"/>
          <w:sz w:val="24"/>
          <w:highlight w:val="none"/>
          <w:lang w:eastAsia="zh-CN"/>
        </w:rPr>
        <w:t>最终以单价</w:t>
      </w:r>
      <w:r>
        <w:rPr>
          <w:rFonts w:hint="eastAsia"/>
          <w:b w:val="0"/>
          <w:bCs/>
          <w:color w:val="auto"/>
          <w:sz w:val="24"/>
          <w:highlight w:val="none"/>
          <w:lang w:val="en-US" w:eastAsia="zh-CN"/>
        </w:rPr>
        <w:t xml:space="preserve"> </w:t>
      </w:r>
      <w:r>
        <w:rPr>
          <w:rFonts w:hint="default" w:ascii="Arial" w:hAnsi="Arial" w:cs="Arial"/>
          <w:b w:val="0"/>
          <w:bCs/>
          <w:color w:val="auto"/>
          <w:sz w:val="24"/>
          <w:highlight w:val="none"/>
          <w:lang w:val="en-US" w:eastAsia="zh-CN"/>
        </w:rPr>
        <w:t>×</w:t>
      </w:r>
      <w:r>
        <w:rPr>
          <w:rFonts w:hint="eastAsia"/>
          <w:b w:val="0"/>
          <w:bCs/>
          <w:color w:val="auto"/>
          <w:sz w:val="24"/>
          <w:highlight w:val="none"/>
          <w:lang w:val="en-US" w:eastAsia="zh-CN"/>
        </w:rPr>
        <w:t xml:space="preserve"> 数量按实结算。</w:t>
      </w:r>
    </w:p>
    <w:p>
      <w:pPr>
        <w:spacing w:line="360" w:lineRule="auto"/>
        <w:ind w:firstLine="482" w:firstLineChars="200"/>
        <w:rPr>
          <w:b/>
          <w:color w:val="auto"/>
          <w:sz w:val="24"/>
          <w:highlight w:val="none"/>
        </w:rPr>
      </w:pPr>
      <w:r>
        <w:rPr>
          <w:b/>
          <w:color w:val="auto"/>
          <w:sz w:val="24"/>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eastAsia="宋体"/>
          <w:color w:val="auto"/>
          <w:spacing w:val="-11"/>
          <w:sz w:val="24"/>
          <w:highlight w:val="none"/>
          <w:lang w:val="en-US" w:eastAsia="zh-CN"/>
        </w:rPr>
        <w:t>泸州盛江投资发展有限公司网站https://www.lzsjtz.com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2"/>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keepNext w:val="0"/>
        <w:keepLines w:val="0"/>
        <w:widowControl/>
        <w:suppressLineNumbers w:val="0"/>
        <w:spacing w:line="360" w:lineRule="auto"/>
        <w:ind w:firstLine="480" w:firstLineChars="200"/>
        <w:jc w:val="left"/>
        <w:rPr>
          <w:rFonts w:hint="default"/>
          <w:bCs/>
          <w:color w:val="auto"/>
          <w:sz w:val="24"/>
          <w:highlight w:val="none"/>
          <w:lang w:val="en-US"/>
        </w:rPr>
      </w:pPr>
      <w:r>
        <w:rPr>
          <w:rFonts w:ascii="Times New Roman" w:hAnsi="Times New Roman" w:eastAsia="宋体" w:cs="Times New Roman"/>
          <w:bCs/>
          <w:color w:val="auto"/>
          <w:kern w:val="2"/>
          <w:sz w:val="24"/>
          <w:szCs w:val="24"/>
          <w:highlight w:val="none"/>
          <w:lang w:val="en-US" w:eastAsia="zh-CN" w:bidi="ar"/>
        </w:rPr>
        <w:t>业绩要求：</w:t>
      </w:r>
      <w:r>
        <w:rPr>
          <w:rFonts w:hint="default" w:ascii="Times New Roman" w:hAnsi="Times New Roman" w:eastAsia="宋体" w:cs="Times New Roman"/>
          <w:bCs/>
          <w:color w:val="auto"/>
          <w:kern w:val="2"/>
          <w:sz w:val="24"/>
          <w:szCs w:val="24"/>
          <w:highlight w:val="none"/>
          <w:lang w:val="en-US" w:eastAsia="zh-CN" w:bidi="ar"/>
        </w:rPr>
        <w:t>2023年1月1日至</w:t>
      </w:r>
      <w:r>
        <w:rPr>
          <w:rFonts w:hint="eastAsia" w:cs="Times New Roman"/>
          <w:bCs/>
          <w:color w:val="auto"/>
          <w:kern w:val="2"/>
          <w:sz w:val="24"/>
          <w:szCs w:val="24"/>
          <w:highlight w:val="none"/>
          <w:lang w:val="en-US" w:eastAsia="zh-CN" w:bidi="ar"/>
        </w:rPr>
        <w:t>询价</w:t>
      </w:r>
      <w:r>
        <w:rPr>
          <w:rFonts w:hint="default" w:ascii="Times New Roman" w:hAnsi="Times New Roman" w:eastAsia="宋体" w:cs="Times New Roman"/>
          <w:bCs/>
          <w:color w:val="auto"/>
          <w:kern w:val="2"/>
          <w:sz w:val="24"/>
          <w:szCs w:val="24"/>
          <w:highlight w:val="none"/>
          <w:lang w:val="en-US" w:eastAsia="zh-CN" w:bidi="ar"/>
        </w:rPr>
        <w:t>截止日已完成至少一个管道探漏或管道修复项目施工业绩。</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eastAsia="宋体"/>
          <w:color w:val="auto"/>
          <w:spacing w:val="-11"/>
          <w:sz w:val="24"/>
          <w:highlight w:val="none"/>
          <w:lang w:val="en-US" w:eastAsia="zh-CN"/>
        </w:rPr>
        <w:t>泸州盛江投资发展有限公司网站https://www.lzsjtz.com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10</w:t>
      </w:r>
      <w:r>
        <w:rPr>
          <w:bCs/>
          <w:color w:val="auto"/>
          <w:sz w:val="24"/>
          <w:highlight w:val="none"/>
        </w:rPr>
        <w:t>月</w:t>
      </w:r>
      <w:r>
        <w:rPr>
          <w:rFonts w:hint="eastAsia"/>
          <w:bCs/>
          <w:color w:val="auto"/>
          <w:sz w:val="24"/>
          <w:highlight w:val="none"/>
          <w:lang w:val="en-US" w:eastAsia="zh-CN"/>
        </w:rPr>
        <w:t>10</w:t>
      </w:r>
      <w:r>
        <w:rPr>
          <w:bCs/>
          <w:color w:val="auto"/>
          <w:sz w:val="24"/>
          <w:highlight w:val="none"/>
        </w:rPr>
        <w:t>日</w:t>
      </w:r>
      <w:r>
        <w:rPr>
          <w:rFonts w:hint="eastAsia"/>
          <w:bCs/>
          <w:color w:val="auto"/>
          <w:sz w:val="24"/>
          <w:highlight w:val="none"/>
          <w:lang w:val="en-US" w:eastAsia="zh-CN"/>
        </w:rPr>
        <w:t>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和</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泸州市江阳区张坝桂圆林西门综合楼泸州兴阳投资集团有限公司2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color w:val="auto"/>
          <w:sz w:val="24"/>
          <w:highlight w:val="none"/>
          <w:lang w:eastAsia="zh-CN"/>
        </w:rPr>
        <w:t>泸州鼎商工程管理服务有限公司</w:t>
      </w:r>
    </w:p>
    <w:p>
      <w:pPr>
        <w:pStyle w:val="22"/>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eastAsia="zh-CN"/>
        </w:rPr>
        <w:t>泸州市江阳区张坝滨江路公交车终点站</w:t>
      </w:r>
    </w:p>
    <w:p>
      <w:pPr>
        <w:pStyle w:val="22"/>
        <w:ind w:firstLine="480"/>
        <w:rPr>
          <w:color w:val="auto"/>
          <w:sz w:val="24"/>
          <w:highlight w:val="none"/>
        </w:rPr>
      </w:pPr>
      <w:r>
        <w:rPr>
          <w:color w:val="auto"/>
          <w:sz w:val="24"/>
          <w:highlight w:val="none"/>
        </w:rPr>
        <w:t xml:space="preserve">联系人： </w:t>
      </w:r>
      <w:r>
        <w:rPr>
          <w:rFonts w:hint="eastAsia"/>
          <w:color w:val="auto"/>
          <w:sz w:val="24"/>
          <w:highlight w:val="none"/>
          <w:lang w:eastAsia="zh-CN"/>
        </w:rPr>
        <w:t>马女士</w:t>
      </w:r>
    </w:p>
    <w:p>
      <w:pPr>
        <w:pStyle w:val="22"/>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13438585366</w:t>
      </w:r>
      <w:r>
        <w:rPr>
          <w:color w:val="auto"/>
          <w:sz w:val="24"/>
          <w:highlight w:val="none"/>
        </w:rPr>
        <w:t xml:space="preserve">            </w:t>
      </w:r>
    </w:p>
    <w:p>
      <w:pPr>
        <w:pStyle w:val="16"/>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监督电话：0830-652</w:t>
      </w:r>
      <w:r>
        <w:rPr>
          <w:rFonts w:hint="eastAsia" w:ascii="Times New Roman" w:hAnsi="Times New Roman"/>
          <w:color w:val="auto"/>
          <w:sz w:val="24"/>
          <w:highlight w:val="none"/>
          <w:lang w:val="en-US" w:eastAsia="zh-CN"/>
        </w:rPr>
        <w:t>3011</w:t>
      </w: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年 </w:t>
      </w: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 xml:space="preserve"> 26</w:t>
      </w:r>
      <w:r>
        <w:rPr>
          <w:rFonts w:ascii="Times New Roman" w:hAnsi="Times New Roman"/>
          <w:color w:val="auto"/>
          <w:sz w:val="24"/>
          <w:szCs w:val="24"/>
          <w:highlight w:val="none"/>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 w:name="_Toc8257"/>
      <w:bookmarkStart w:id="5" w:name="_Toc91771147"/>
      <w:r>
        <w:rPr>
          <w:rFonts w:hint="eastAsia" w:ascii="黑体" w:hAnsi="黑体" w:eastAsia="黑体"/>
          <w:color w:val="auto"/>
          <w:sz w:val="36"/>
          <w:highlight w:val="none"/>
        </w:rPr>
        <w:t>第二章 询价须知</w:t>
      </w:r>
      <w:bookmarkEnd w:id="4"/>
      <w:bookmarkEnd w:id="5"/>
    </w:p>
    <w:p>
      <w:pPr>
        <w:spacing w:after="240" w:afterLines="100"/>
        <w:jc w:val="center"/>
        <w:outlineLvl w:val="1"/>
        <w:rPr>
          <w:rFonts w:hint="eastAsia" w:ascii="宋体" w:hAnsi="宋体"/>
          <w:b/>
          <w:color w:val="auto"/>
          <w:sz w:val="32"/>
          <w:highlight w:val="none"/>
        </w:rPr>
      </w:pPr>
      <w:bookmarkStart w:id="6" w:name="_Toc17277"/>
      <w:bookmarkStart w:id="7" w:name="_Toc91771148"/>
      <w:r>
        <w:rPr>
          <w:rFonts w:hint="eastAsia" w:ascii="宋体" w:hAnsi="宋体"/>
          <w:b/>
          <w:color w:val="auto"/>
          <w:sz w:val="32"/>
          <w:highlight w:val="none"/>
        </w:rPr>
        <w:t>一、供应商须知前附表</w:t>
      </w:r>
      <w:bookmarkEnd w:id="6"/>
      <w:bookmarkEnd w:id="7"/>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160550.00</w:t>
            </w:r>
            <w:r>
              <w:rPr>
                <w:rFonts w:hint="eastAsia"/>
                <w:color w:val="auto"/>
                <w:highlight w:val="none"/>
                <w:lang w:val="zh-CN"/>
              </w:rPr>
              <w:t>元；</w:t>
            </w:r>
          </w:p>
          <w:p>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最高限价</w:t>
            </w:r>
            <w:r>
              <w:rPr>
                <w:rFonts w:hint="eastAsia"/>
                <w:color w:val="auto"/>
                <w:highlight w:val="none"/>
                <w:lang w:val="en-US" w:eastAsia="zh-CN"/>
              </w:rPr>
              <w:t>: 160550.00</w:t>
            </w:r>
            <w:r>
              <w:rPr>
                <w:rFonts w:hint="eastAsia"/>
                <w:color w:val="auto"/>
                <w:sz w:val="24"/>
                <w:highlight w:val="none"/>
                <w:lang w:val="en-US" w:eastAsia="zh-CN"/>
              </w:rPr>
              <w:t>元。</w:t>
            </w:r>
            <w:r>
              <w:rPr>
                <w:rFonts w:hint="eastAsia"/>
                <w:color w:val="auto"/>
                <w:highlight w:val="none"/>
                <w:lang w:val="en-US" w:eastAsia="zh-CN"/>
              </w:rPr>
              <w:t>。</w:t>
            </w:r>
          </w:p>
          <w:p>
            <w:pPr>
              <w:pStyle w:val="24"/>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w:t>
            </w:r>
            <w:r>
              <w:rPr>
                <w:rFonts w:hint="eastAsia"/>
                <w:color w:val="auto"/>
                <w:sz w:val="24"/>
                <w:szCs w:val="28"/>
                <w:highlight w:val="none"/>
                <w:lang w:val="en-US" w:eastAsia="zh-CN"/>
              </w:rPr>
              <w:t>在</w:t>
            </w:r>
            <w:r>
              <w:rPr>
                <w:rFonts w:hint="eastAsia"/>
                <w:color w:val="auto"/>
                <w:sz w:val="24"/>
                <w:highlight w:val="none"/>
              </w:rPr>
              <w:t>泸州盛江投资发展有限公司http://www.lzsjtz.com/</w:t>
            </w:r>
            <w:r>
              <w:rPr>
                <w:rFonts w:hint="eastAsia"/>
                <w:color w:val="auto"/>
                <w:highlight w:val="none"/>
                <w:lang w:val="en-US" w:eastAsia="zh-CN"/>
              </w:rPr>
              <w:t>上</w:t>
            </w:r>
            <w:r>
              <w:rPr>
                <w:rFonts w:hint="eastAsia"/>
                <w:color w:val="auto"/>
                <w:highlight w:val="none"/>
                <w:lang w:val="zh-CN"/>
              </w:rPr>
              <w:t>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 xml:space="preserve">2000 </w:t>
            </w:r>
            <w:r>
              <w:rPr>
                <w:rFonts w:hint="eastAsia"/>
                <w:color w:val="auto"/>
                <w:highlight w:val="none"/>
                <w:lang w:bidi="ar"/>
              </w:rPr>
              <w:t>元（大写：</w:t>
            </w:r>
            <w:r>
              <w:rPr>
                <w:rFonts w:hint="eastAsia"/>
                <w:color w:val="auto"/>
                <w:highlight w:val="none"/>
                <w:lang w:val="en-US" w:eastAsia="zh-CN" w:bidi="ar"/>
              </w:rPr>
              <w:t>贰</w:t>
            </w:r>
            <w:r>
              <w:rPr>
                <w:rFonts w:hint="eastAsia"/>
                <w:color w:val="auto"/>
                <w:highlight w:val="none"/>
                <w:lang w:eastAsia="zh-CN" w:bidi="ar"/>
              </w:rPr>
              <w:t>仟元</w:t>
            </w:r>
            <w:r>
              <w:rPr>
                <w:rFonts w:hint="eastAsia"/>
                <w:color w:val="auto"/>
                <w:highlight w:val="none"/>
                <w:lang w:bidi="ar"/>
              </w:rPr>
              <w:t>整）</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收款单位：泸州鼎商工程管理服务有限公司。</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行：泸州市商业银行股份有限公司茜草分行。</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9200 0000 1189 8888</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sz w:val="24"/>
                <w:szCs w:val="24"/>
                <w:highlight w:val="none"/>
              </w:rPr>
              <w:t>张坝滨江路景观工程PPP项目</w:t>
            </w:r>
            <w:r>
              <w:rPr>
                <w:rFonts w:hint="eastAsia"/>
                <w:color w:val="auto"/>
                <w:sz w:val="24"/>
                <w:szCs w:val="24"/>
                <w:highlight w:val="none"/>
                <w:lang w:eastAsia="zh-CN"/>
              </w:rPr>
              <w:t>地下供水管网探漏维修</w:t>
            </w:r>
            <w:r>
              <w:rPr>
                <w:rFonts w:hint="eastAsia"/>
                <w:color w:val="auto"/>
                <w:highlight w:val="none"/>
              </w:rPr>
              <w:t>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联系人：聂女士</w:t>
            </w:r>
            <w:r>
              <w:rPr>
                <w:rFonts w:hint="eastAsia"/>
                <w:color w:val="auto"/>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15196688161</w:t>
            </w:r>
            <w:r>
              <w:rPr>
                <w:rFonts w:hint="eastAsia"/>
                <w:color w:val="auto"/>
                <w:highlight w:val="none"/>
              </w:rPr>
              <w:t xml:space="preserve"> </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 xml:space="preserve"> </w:t>
            </w:r>
            <w:r>
              <w:rPr>
                <w:rFonts w:hint="eastAsia"/>
                <w:color w:val="auto"/>
                <w:highlight w:val="none"/>
              </w:rPr>
              <w:t>%缴纳。</w:t>
            </w:r>
          </w:p>
          <w:p>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5000元 ，大写：伍仟元整 。</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收款单位：泸州鼎商工程管理服务有限公司。</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行：泸州市商业银行股份有限公司茜草分行。</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9200 0000 1189 8888</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泸州兴阳投资集团有限公司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凭有效身份证明证件到泸州市江阳区张坝桂圆林泸州鼎商工程管理有限公司领取成交通知书。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马女士</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7"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4"/>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eastAsia="zh-CN"/>
              </w:rPr>
              <w:t>马女士</w:t>
            </w:r>
            <w:r>
              <w:rPr>
                <w:rFonts w:hint="eastAsia"/>
                <w:color w:val="auto"/>
                <w:highlight w:val="none"/>
              </w:rPr>
              <w:t xml:space="preserve"> 。</w:t>
            </w:r>
          </w:p>
          <w:p>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4"/>
              <w:spacing w:line="300" w:lineRule="auto"/>
              <w:ind w:firstLine="240" w:firstLineChars="100"/>
              <w:rPr>
                <w:rFonts w:hint="eastAsia"/>
                <w:color w:val="auto"/>
                <w:highlight w:val="none"/>
              </w:rPr>
            </w:pPr>
            <w:r>
              <w:rPr>
                <w:rFonts w:hint="eastAsia"/>
                <w:color w:val="auto"/>
                <w:highlight w:val="none"/>
                <w:lang w:val="zh-CN"/>
              </w:rPr>
              <w:t>联 系 人：马女士</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w:t>
            </w:r>
            <w:bookmarkStart w:id="83" w:name="_GoBack"/>
            <w:bookmarkEnd w:id="83"/>
            <w:r>
              <w:rPr>
                <w:rFonts w:hint="eastAsia"/>
                <w:color w:val="auto"/>
                <w:highlight w:val="none"/>
                <w:lang w:val="zh-CN"/>
              </w:rPr>
              <w:t>采购法实施条例》的规定，</w:t>
            </w:r>
          </w:p>
          <w:p>
            <w:pPr>
              <w:pStyle w:val="24"/>
              <w:spacing w:line="300" w:lineRule="auto"/>
              <w:rPr>
                <w:rFonts w:hint="eastAsia"/>
                <w:color w:val="auto"/>
                <w:highlight w:val="none"/>
                <w:lang w:val="zh-CN"/>
              </w:rPr>
            </w:pPr>
            <w:r>
              <w:rPr>
                <w:rFonts w:hint="eastAsia"/>
                <w:color w:val="auto"/>
                <w:highlight w:val="none"/>
                <w:lang w:val="zh-CN"/>
              </w:rPr>
              <w:t>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2025年10</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10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9:30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8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接到采购人通知后10天内签订合同；否则，视为成交供应商放弃成交，没收保证金，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eastAsia="zh-CN"/>
              </w:rPr>
              <w:t>成交合同签订之日起30个工作日内验收合格</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泸州市江阳区张坝桂圆林西门综合楼泸州兴阳投资集团有限公司2楼F02会议室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8" w:name="_Toc91771149"/>
      <w:bookmarkStart w:id="9" w:name="_Toc4417"/>
      <w:r>
        <w:rPr>
          <w:rFonts w:hint="eastAsia" w:ascii="宋体" w:hAnsi="宋体"/>
          <w:b/>
          <w:color w:val="auto"/>
          <w:sz w:val="32"/>
          <w:highlight w:val="none"/>
        </w:rPr>
        <w:t>二、总则</w:t>
      </w:r>
      <w:bookmarkEnd w:id="8"/>
      <w:bookmarkEnd w:id="9"/>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0" w:name="_Toc1537"/>
      <w:bookmarkStart w:id="11" w:name="_Toc91771150"/>
      <w:r>
        <w:rPr>
          <w:rFonts w:ascii="宋体" w:hAnsi="宋体"/>
          <w:b/>
          <w:color w:val="auto"/>
          <w:sz w:val="32"/>
          <w:highlight w:val="none"/>
        </w:rPr>
        <w:t>三、询价文件</w:t>
      </w:r>
      <w:bookmarkEnd w:id="10"/>
      <w:bookmarkEnd w:id="11"/>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rPr>
        <w:t>在泸州盛江投资发展有限公司http://www.lzsjtz.com/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2" w:name="_Toc91771151"/>
      <w:bookmarkStart w:id="13" w:name="_Toc16459"/>
      <w:r>
        <w:rPr>
          <w:rFonts w:ascii="宋体" w:hAnsi="宋体"/>
          <w:b/>
          <w:color w:val="auto"/>
          <w:sz w:val="32"/>
          <w:highlight w:val="none"/>
        </w:rPr>
        <w:t>四、询价响应文件</w:t>
      </w:r>
      <w:bookmarkEnd w:id="12"/>
      <w:bookmarkEnd w:id="13"/>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4" w:name="_Toc91771152"/>
      <w:bookmarkStart w:id="15" w:name="_Toc28609"/>
      <w:r>
        <w:rPr>
          <w:rFonts w:ascii="宋体" w:hAnsi="宋体"/>
          <w:b/>
          <w:color w:val="auto"/>
          <w:sz w:val="32"/>
          <w:highlight w:val="none"/>
        </w:rPr>
        <w:t>五、询价及评审过程</w:t>
      </w:r>
      <w:bookmarkEnd w:id="14"/>
      <w:bookmarkEnd w:id="15"/>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6" w:name="_Toc3730"/>
      <w:bookmarkStart w:id="17" w:name="_Toc91771153"/>
      <w:r>
        <w:rPr>
          <w:rFonts w:ascii="宋体" w:hAnsi="宋体"/>
          <w:b/>
          <w:color w:val="auto"/>
          <w:sz w:val="32"/>
          <w:highlight w:val="none"/>
        </w:rPr>
        <w:t>六、成交事项</w:t>
      </w:r>
      <w:bookmarkEnd w:id="16"/>
      <w:bookmarkEnd w:id="17"/>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8" w:name="_Toc91771154"/>
      <w:bookmarkStart w:id="19" w:name="_Toc4598"/>
      <w:r>
        <w:rPr>
          <w:rFonts w:ascii="宋体" w:hAnsi="宋体"/>
          <w:b/>
          <w:color w:val="auto"/>
          <w:sz w:val="32"/>
          <w:highlight w:val="none"/>
        </w:rPr>
        <w:t>七、合同事项</w:t>
      </w:r>
      <w:bookmarkEnd w:id="18"/>
      <w:bookmarkEnd w:id="19"/>
    </w:p>
    <w:p>
      <w:pPr>
        <w:spacing w:line="360" w:lineRule="auto"/>
        <w:rPr>
          <w:b/>
          <w:color w:val="auto"/>
          <w:sz w:val="24"/>
          <w:highlight w:val="none"/>
        </w:rPr>
      </w:pPr>
      <w:bookmarkStart w:id="20" w:name="_Toc209847069"/>
      <w:bookmarkStart w:id="21" w:name="_Toc430773927"/>
      <w:bookmarkStart w:id="22" w:name="_Toc101174151"/>
      <w:bookmarkStart w:id="23" w:name="_Toc101338364"/>
      <w:bookmarkStart w:id="24" w:name="_Toc101250646"/>
      <w:r>
        <w:rPr>
          <w:b/>
          <w:color w:val="auto"/>
          <w:sz w:val="24"/>
          <w:highlight w:val="none"/>
        </w:rPr>
        <w:t>25.签订合同</w:t>
      </w:r>
      <w:bookmarkEnd w:id="20"/>
      <w:bookmarkEnd w:id="21"/>
      <w:bookmarkEnd w:id="22"/>
      <w:bookmarkEnd w:id="23"/>
      <w:bookmarkEnd w:id="24"/>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5" w:name="_Toc91771155"/>
      <w:bookmarkStart w:id="26" w:name="_Toc29173"/>
      <w:r>
        <w:rPr>
          <w:rFonts w:ascii="宋体" w:hAnsi="宋体"/>
          <w:b/>
          <w:color w:val="auto"/>
          <w:sz w:val="32"/>
          <w:highlight w:val="none"/>
        </w:rPr>
        <w:t>八、询价纪律要求</w:t>
      </w:r>
      <w:bookmarkEnd w:id="25"/>
      <w:bookmarkEnd w:id="26"/>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7" w:name="_Toc13924"/>
      <w:bookmarkStart w:id="28" w:name="_Toc91771156"/>
      <w:r>
        <w:rPr>
          <w:rFonts w:ascii="宋体" w:hAnsi="宋体"/>
          <w:b/>
          <w:color w:val="auto"/>
          <w:sz w:val="32"/>
          <w:highlight w:val="none"/>
        </w:rPr>
        <w:t>九、询问、质疑和投诉</w:t>
      </w:r>
      <w:bookmarkEnd w:id="27"/>
      <w:bookmarkEnd w:id="28"/>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29" w:name="_Toc4868"/>
      <w:bookmarkStart w:id="30" w:name="_Toc91771157"/>
      <w:r>
        <w:rPr>
          <w:rFonts w:ascii="宋体" w:hAnsi="宋体"/>
          <w:b/>
          <w:color w:val="auto"/>
          <w:sz w:val="32"/>
          <w:highlight w:val="none"/>
        </w:rPr>
        <w:t>十、其他</w:t>
      </w:r>
      <w:bookmarkEnd w:id="29"/>
      <w:bookmarkEnd w:id="30"/>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1" w:name="_Toc217446057"/>
      <w:bookmarkStart w:id="32" w:name="_Toc183682369"/>
      <w:bookmarkStart w:id="33" w:name="_Toc183582232"/>
      <w:r>
        <w:rPr>
          <w:rFonts w:ascii="黑体" w:hAnsi="黑体" w:eastAsia="黑体"/>
          <w:color w:val="auto"/>
          <w:sz w:val="36"/>
          <w:highlight w:val="none"/>
        </w:rPr>
        <w:br w:type="page"/>
      </w:r>
      <w:bookmarkStart w:id="34" w:name="_Toc14799"/>
      <w:bookmarkStart w:id="35" w:name="_Toc91771158"/>
      <w:r>
        <w:rPr>
          <w:rFonts w:hint="eastAsia" w:ascii="黑体" w:hAnsi="黑体" w:eastAsia="黑体"/>
          <w:color w:val="auto"/>
          <w:sz w:val="36"/>
          <w:highlight w:val="none"/>
        </w:rPr>
        <w:t>第三章 项目技术、服务及商务要求</w:t>
      </w:r>
      <w:bookmarkEnd w:id="34"/>
      <w:bookmarkEnd w:id="35"/>
    </w:p>
    <w:p>
      <w:pPr>
        <w:outlineLvl w:val="1"/>
        <w:rPr>
          <w:rFonts w:hint="eastAsia" w:ascii="宋体" w:hAnsi="宋体"/>
          <w:b/>
          <w:color w:val="auto"/>
          <w:sz w:val="32"/>
          <w:highlight w:val="none"/>
        </w:rPr>
      </w:pPr>
      <w:bookmarkStart w:id="36" w:name="_Toc8217"/>
      <w:bookmarkStart w:id="37" w:name="_Toc91771159"/>
      <w:r>
        <w:rPr>
          <w:rFonts w:hint="eastAsia" w:ascii="宋体" w:hAnsi="宋体"/>
          <w:b/>
          <w:color w:val="auto"/>
          <w:sz w:val="32"/>
          <w:highlight w:val="none"/>
        </w:rPr>
        <w:t>一、项目概况</w:t>
      </w:r>
      <w:bookmarkEnd w:id="36"/>
      <w:bookmarkEnd w:id="37"/>
    </w:p>
    <w:p>
      <w:pPr>
        <w:pStyle w:val="3"/>
        <w:spacing w:before="66" w:line="400" w:lineRule="exact"/>
        <w:ind w:right="890" w:firstLine="480" w:firstLineChars="0"/>
        <w:rPr>
          <w:rFonts w:hint="default" w:ascii="宋体" w:hAnsi="宋体"/>
          <w:b/>
          <w:color w:val="auto"/>
          <w:sz w:val="32"/>
          <w:highlight w:val="none"/>
          <w:lang w:val="en-US"/>
        </w:rPr>
      </w:pPr>
      <w:bookmarkStart w:id="38" w:name="_Toc27434"/>
      <w:bookmarkStart w:id="39" w:name="_Toc91771160"/>
      <w:r>
        <w:rPr>
          <w:rFonts w:hint="eastAsia"/>
          <w:color w:val="auto"/>
          <w:sz w:val="24"/>
          <w:szCs w:val="24"/>
          <w:highlight w:val="none"/>
        </w:rPr>
        <w:t>张坝滨江路景观工程PPP项目</w:t>
      </w:r>
      <w:r>
        <w:rPr>
          <w:rFonts w:hint="eastAsia"/>
          <w:b w:val="0"/>
          <w:bCs/>
          <w:color w:val="auto"/>
          <w:sz w:val="24"/>
          <w:highlight w:val="none"/>
          <w:lang w:eastAsia="zh-CN"/>
        </w:rPr>
        <w:t>地下供水管网漏水，须检测、精准定位漏水点，并维修修复，成交合同签订之日起30个工作日内验收合格</w:t>
      </w:r>
      <w:r>
        <w:rPr>
          <w:rFonts w:hint="eastAsia"/>
          <w:b w:val="0"/>
          <w:bCs/>
          <w:color w:val="auto"/>
          <w:sz w:val="24"/>
          <w:highlight w:val="none"/>
          <w:lang w:val="en-US" w:eastAsia="zh-CN"/>
        </w:rPr>
        <w:t>。</w:t>
      </w:r>
    </w:p>
    <w:p>
      <w:pPr>
        <w:numPr>
          <w:ilvl w:val="0"/>
          <w:numId w:val="1"/>
        </w:numPr>
        <w:outlineLvl w:val="1"/>
        <w:rPr>
          <w:rFonts w:hint="eastAsia" w:ascii="宋体" w:hAnsi="宋体"/>
          <w:b/>
          <w:color w:val="auto"/>
          <w:sz w:val="32"/>
          <w:highlight w:val="none"/>
        </w:rPr>
      </w:pPr>
      <w:r>
        <w:rPr>
          <w:rFonts w:hint="eastAsia" w:ascii="宋体" w:hAnsi="宋体"/>
          <w:b/>
          <w:color w:val="auto"/>
          <w:sz w:val="32"/>
          <w:highlight w:val="none"/>
        </w:rPr>
        <w:t>技术要求</w:t>
      </w:r>
      <w:bookmarkEnd w:id="38"/>
      <w:bookmarkEnd w:id="39"/>
    </w:p>
    <w:p>
      <w:pPr>
        <w:ind w:right="31"/>
        <w:jc w:val="center"/>
        <w:rPr>
          <w:b w:val="0"/>
          <w:bCs w:val="0"/>
          <w:color w:val="auto"/>
          <w:sz w:val="28"/>
          <w:szCs w:val="28"/>
          <w:highlight w:val="none"/>
        </w:rPr>
      </w:pPr>
    </w:p>
    <w:p>
      <w:pPr>
        <w:ind w:right="31"/>
        <w:jc w:val="center"/>
        <w:rPr>
          <w:rFonts w:hint="eastAsia" w:ascii="宋体" w:hAnsi="宋体" w:eastAsia="宋体" w:cs="宋体"/>
          <w:bCs/>
          <w:color w:val="auto"/>
          <w:sz w:val="24"/>
          <w:highlight w:val="none"/>
          <w:lang w:val="en-US" w:eastAsia="zh-CN"/>
        </w:rPr>
      </w:pPr>
      <w:r>
        <w:rPr>
          <w:b w:val="0"/>
          <w:bCs w:val="0"/>
          <w:color w:val="auto"/>
          <w:sz w:val="28"/>
          <w:szCs w:val="28"/>
          <w:highlight w:val="none"/>
        </w:rPr>
        <w:t>张坝</w:t>
      </w:r>
      <w:r>
        <w:rPr>
          <w:rFonts w:hint="eastAsia"/>
          <w:b w:val="0"/>
          <w:bCs w:val="0"/>
          <w:color w:val="auto"/>
          <w:sz w:val="28"/>
          <w:szCs w:val="28"/>
          <w:highlight w:val="none"/>
        </w:rPr>
        <w:t>滨江路</w:t>
      </w:r>
      <w:r>
        <w:rPr>
          <w:rFonts w:hint="eastAsia"/>
          <w:b w:val="0"/>
          <w:bCs w:val="0"/>
          <w:color w:val="auto"/>
          <w:sz w:val="28"/>
          <w:szCs w:val="28"/>
          <w:highlight w:val="none"/>
          <w:lang w:eastAsia="zh-CN"/>
        </w:rPr>
        <w:t>地下供水管网探漏维修技术参数</w:t>
      </w:r>
    </w:p>
    <w:tbl>
      <w:tblPr>
        <w:tblStyle w:val="17"/>
        <w:tblpPr w:leftFromText="180" w:rightFromText="180" w:vertAnchor="text" w:horzAnchor="page" w:tblpX="1627" w:tblpY="1005"/>
        <w:tblOverlap w:val="never"/>
        <w:tblW w:w="5444" w:type="pct"/>
        <w:tblInd w:w="0" w:type="dxa"/>
        <w:tblLayout w:type="fixed"/>
        <w:tblCellMar>
          <w:top w:w="0" w:type="dxa"/>
          <w:left w:w="108" w:type="dxa"/>
          <w:bottom w:w="0" w:type="dxa"/>
          <w:right w:w="108" w:type="dxa"/>
        </w:tblCellMar>
      </w:tblPr>
      <w:tblGrid>
        <w:gridCol w:w="670"/>
        <w:gridCol w:w="1200"/>
        <w:gridCol w:w="1845"/>
        <w:gridCol w:w="716"/>
        <w:gridCol w:w="1025"/>
        <w:gridCol w:w="937"/>
        <w:gridCol w:w="967"/>
        <w:gridCol w:w="1920"/>
      </w:tblGrid>
      <w:tr>
        <w:tblPrEx>
          <w:tblCellMar>
            <w:top w:w="0" w:type="dxa"/>
            <w:left w:w="108" w:type="dxa"/>
            <w:bottom w:w="0" w:type="dxa"/>
            <w:right w:w="108" w:type="dxa"/>
          </w:tblCellMar>
        </w:tblPrEx>
        <w:trPr>
          <w:trHeight w:val="1442"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bookmarkStart w:id="40" w:name="_Toc91771162"/>
            <w:bookmarkStart w:id="41" w:name="_Toc7453"/>
            <w:r>
              <w:rPr>
                <w:rFonts w:hint="eastAsia"/>
                <w:color w:val="auto"/>
                <w:sz w:val="24"/>
                <w:szCs w:val="24"/>
                <w:highlight w:val="none"/>
                <w:lang w:val="en-US"/>
              </w:rPr>
              <w:t>序号</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eastAsia="zh-CN"/>
              </w:rPr>
              <w:t>项目</w:t>
            </w:r>
            <w:r>
              <w:rPr>
                <w:rFonts w:hint="eastAsia"/>
                <w:color w:val="auto"/>
                <w:sz w:val="24"/>
                <w:szCs w:val="24"/>
                <w:highlight w:val="none"/>
                <w:lang w:val="en-US"/>
              </w:rPr>
              <w:t>名称</w:t>
            </w:r>
          </w:p>
        </w:tc>
        <w:tc>
          <w:tcPr>
            <w:tcW w:w="9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项目特征</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单位</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暂定</w:t>
            </w:r>
          </w:p>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工程量</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含税单价（元）</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1"/>
                <w:szCs w:val="21"/>
                <w:highlight w:val="none"/>
                <w:lang w:val="en-US" w:eastAsia="zh-CN"/>
              </w:rPr>
            </w:pPr>
            <w:r>
              <w:rPr>
                <w:rFonts w:hint="eastAsia" w:eastAsia="宋体"/>
                <w:color w:val="auto"/>
                <w:sz w:val="24"/>
                <w:szCs w:val="24"/>
                <w:highlight w:val="none"/>
                <w:lang w:val="en-US" w:eastAsia="zh-CN"/>
              </w:rPr>
              <w:t>含税总价（元）</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720" w:firstLineChars="300"/>
              <w:jc w:val="both"/>
              <w:textAlignment w:val="center"/>
              <w:rPr>
                <w:rFonts w:hint="eastAsia" w:eastAsia="宋体"/>
                <w:color w:val="auto"/>
                <w:sz w:val="21"/>
                <w:szCs w:val="21"/>
                <w:highlight w:val="none"/>
                <w:lang w:val="en-US" w:eastAsia="zh-CN"/>
              </w:rPr>
            </w:pPr>
            <w:r>
              <w:rPr>
                <w:rFonts w:hint="eastAsia" w:eastAsia="宋体"/>
                <w:color w:val="auto"/>
                <w:sz w:val="24"/>
                <w:szCs w:val="24"/>
                <w:highlight w:val="none"/>
                <w:lang w:val="en-US" w:eastAsia="zh-CN"/>
              </w:rPr>
              <w:t>备</w:t>
            </w:r>
            <w:r>
              <w:rPr>
                <w:rFonts w:hint="eastAsia"/>
                <w:color w:val="auto"/>
                <w:sz w:val="24"/>
                <w:szCs w:val="24"/>
                <w:highlight w:val="none"/>
                <w:lang w:val="en-US" w:eastAsia="zh-CN"/>
              </w:rPr>
              <w:t xml:space="preserve">  </w:t>
            </w:r>
            <w:r>
              <w:rPr>
                <w:rFonts w:hint="eastAsia" w:eastAsia="宋体"/>
                <w:color w:val="auto"/>
                <w:sz w:val="24"/>
                <w:szCs w:val="24"/>
                <w:highlight w:val="none"/>
                <w:lang w:val="en-US" w:eastAsia="zh-CN"/>
              </w:rPr>
              <w:t>注</w:t>
            </w:r>
          </w:p>
        </w:tc>
      </w:tr>
      <w:tr>
        <w:tblPrEx>
          <w:tblCellMar>
            <w:top w:w="0" w:type="dxa"/>
            <w:left w:w="108" w:type="dxa"/>
            <w:bottom w:w="0" w:type="dxa"/>
            <w:right w:w="108" w:type="dxa"/>
          </w:tblCellMar>
        </w:tblPrEx>
        <w:trPr>
          <w:trHeight w:val="1849"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ind w:left="0" w:firstLine="0" w:firstLineChars="0"/>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检测出第一个漏点位置</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firstLine="0" w:firstLineChars="0"/>
              <w:jc w:val="center"/>
              <w:textAlignment w:val="center"/>
              <w:rPr>
                <w:rFonts w:hint="eastAsia" w:eastAsia="宋体"/>
                <w:color w:val="auto"/>
                <w:sz w:val="21"/>
                <w:szCs w:val="21"/>
                <w:highlight w:val="none"/>
                <w:lang w:eastAsia="zh-CN"/>
              </w:rPr>
            </w:pPr>
            <w:r>
              <w:rPr>
                <w:rFonts w:hint="eastAsia"/>
                <w:color w:val="auto"/>
                <w:sz w:val="21"/>
                <w:szCs w:val="21"/>
                <w:highlight w:val="none"/>
                <w:lang w:val="en-US" w:eastAsia="zh-CN"/>
              </w:rPr>
              <w:t>对漏水点位置精准定位，以开挖后管道漏水点喷射状态为准。</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color w:val="auto"/>
                <w:sz w:val="21"/>
                <w:szCs w:val="21"/>
                <w:highlight w:val="none"/>
                <w:lang w:val="en-US" w:eastAsia="zh-CN"/>
              </w:rPr>
            </w:pPr>
            <w:r>
              <w:rPr>
                <w:rFonts w:hint="eastAsia"/>
                <w:color w:val="auto"/>
                <w:sz w:val="21"/>
                <w:szCs w:val="21"/>
                <w:highlight w:val="none"/>
                <w:lang w:val="en-US" w:eastAsia="zh-CN"/>
              </w:rPr>
              <w:t>漏点</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4750</w:t>
            </w: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4750</w:t>
            </w:r>
          </w:p>
        </w:tc>
        <w:tc>
          <w:tcPr>
            <w:tcW w:w="1034"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仅适用于管道开挖后发现漏点的情况；若开挖后检测确认管道无漏水，施工方须对开挖部位按原样修复，产生的所有费用由施工方自行负责。</w:t>
            </w:r>
          </w:p>
        </w:tc>
      </w:tr>
      <w:tr>
        <w:tblPrEx>
          <w:tblCellMar>
            <w:top w:w="0" w:type="dxa"/>
            <w:left w:w="108" w:type="dxa"/>
            <w:bottom w:w="0" w:type="dxa"/>
            <w:right w:w="108" w:type="dxa"/>
          </w:tblCellMar>
        </w:tblPrEx>
        <w:trPr>
          <w:trHeight w:val="189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检测出第二个及以上漏点位置</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eastAsia="宋体"/>
                <w:color w:val="auto"/>
                <w:sz w:val="21"/>
                <w:szCs w:val="21"/>
                <w:highlight w:val="none"/>
                <w:lang w:eastAsia="zh-CN"/>
              </w:rPr>
            </w:pPr>
            <w:r>
              <w:rPr>
                <w:rFonts w:hint="eastAsia"/>
                <w:color w:val="auto"/>
                <w:sz w:val="21"/>
                <w:szCs w:val="21"/>
                <w:highlight w:val="none"/>
                <w:lang w:val="en-US" w:eastAsia="zh-CN"/>
              </w:rPr>
              <w:t>对漏水点位置精准定位，以开挖后管道漏水点喷射状态为准。</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pStyle w:val="3"/>
              <w:rPr>
                <w:rFonts w:hint="default"/>
                <w:color w:val="auto"/>
                <w:sz w:val="21"/>
                <w:szCs w:val="21"/>
                <w:highlight w:val="none"/>
                <w:lang w:val="en-US" w:eastAsia="zh-CN"/>
              </w:rPr>
            </w:pPr>
            <w:r>
              <w:rPr>
                <w:rFonts w:hint="eastAsia"/>
                <w:color w:val="auto"/>
                <w:sz w:val="21"/>
                <w:szCs w:val="21"/>
                <w:highlight w:val="none"/>
                <w:lang w:val="en-US" w:eastAsia="zh-CN"/>
              </w:rPr>
              <w:t xml:space="preserve"> 漏点</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pStyle w:val="3"/>
              <w:ind w:firstLine="210" w:firstLineChars="100"/>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pStyle w:val="3"/>
              <w:ind w:firstLine="210" w:firstLineChars="100"/>
              <w:rPr>
                <w:rFonts w:hint="default"/>
                <w:color w:val="auto"/>
                <w:sz w:val="21"/>
                <w:szCs w:val="21"/>
                <w:highlight w:val="none"/>
                <w:lang w:val="en-US" w:eastAsia="zh-CN"/>
              </w:rPr>
            </w:pPr>
            <w:r>
              <w:rPr>
                <w:rFonts w:hint="eastAsia"/>
                <w:color w:val="auto"/>
                <w:sz w:val="21"/>
                <w:szCs w:val="21"/>
                <w:highlight w:val="none"/>
                <w:lang w:val="en-US" w:eastAsia="zh-CN"/>
              </w:rPr>
              <w:t>3800</w:t>
            </w: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41800</w:t>
            </w:r>
          </w:p>
        </w:tc>
        <w:tc>
          <w:tcPr>
            <w:tcW w:w="1034"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仅适用于管道开挖后发现漏点的情况；若开挖后检测确认管道无漏水，施工方须对开挖部位按原样修复，产生的所有费用由施工方自行负责。</w:t>
            </w:r>
          </w:p>
        </w:tc>
      </w:tr>
      <w:tr>
        <w:tblPrEx>
          <w:tblCellMar>
            <w:top w:w="0" w:type="dxa"/>
            <w:left w:w="108" w:type="dxa"/>
            <w:bottom w:w="0" w:type="dxa"/>
            <w:right w:w="108" w:type="dxa"/>
          </w:tblCellMar>
        </w:tblPrEx>
        <w:trPr>
          <w:trHeight w:val="112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管道开挖一</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color w:val="auto"/>
                <w:sz w:val="21"/>
                <w:szCs w:val="21"/>
                <w:highlight w:val="none"/>
                <w:lang w:val="en-US" w:eastAsia="zh-CN"/>
              </w:rPr>
            </w:pPr>
            <w:r>
              <w:rPr>
                <w:rFonts w:hint="eastAsia"/>
                <w:color w:val="auto"/>
                <w:sz w:val="21"/>
                <w:szCs w:val="21"/>
                <w:highlight w:val="none"/>
                <w:lang w:val="en-US" w:eastAsia="zh-CN"/>
              </w:rPr>
              <w:t>漏水点位开挖，含所有地面（除绿化带，深度不限、宽度不限），包括人工、机械、措施、运输等。</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处</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2850</w:t>
            </w: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25650</w:t>
            </w:r>
          </w:p>
        </w:tc>
        <w:tc>
          <w:tcPr>
            <w:tcW w:w="10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仅适用于检测出有漏点位置的管道开挖。</w:t>
            </w:r>
          </w:p>
        </w:tc>
      </w:tr>
      <w:tr>
        <w:tblPrEx>
          <w:tblCellMar>
            <w:top w:w="0" w:type="dxa"/>
            <w:left w:w="108" w:type="dxa"/>
            <w:bottom w:w="0" w:type="dxa"/>
            <w:right w:w="108" w:type="dxa"/>
          </w:tblCellMar>
        </w:tblPrEx>
        <w:trPr>
          <w:trHeight w:val="25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管道开挖二</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color w:val="auto"/>
                <w:sz w:val="21"/>
                <w:szCs w:val="21"/>
                <w:highlight w:val="none"/>
                <w:lang w:val="en-US" w:eastAsia="zh-CN"/>
              </w:rPr>
            </w:pPr>
            <w:r>
              <w:rPr>
                <w:rFonts w:hint="eastAsia"/>
                <w:color w:val="auto"/>
                <w:sz w:val="21"/>
                <w:szCs w:val="21"/>
                <w:highlight w:val="none"/>
                <w:lang w:val="en-US" w:eastAsia="zh-CN"/>
              </w:rPr>
              <w:t>漏水点位开挖，含所有绿化带（深度不限、宽度不限）。开挖方式根据发包人意见执行，包括人工、机械、措施、运输等。</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处</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2375</w:t>
            </w: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7125</w:t>
            </w:r>
          </w:p>
        </w:tc>
        <w:tc>
          <w:tcPr>
            <w:tcW w:w="10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仅适用于检测出有漏点位置的管道开挖。</w:t>
            </w:r>
          </w:p>
        </w:tc>
      </w:tr>
      <w:tr>
        <w:tblPrEx>
          <w:tblCellMar>
            <w:top w:w="0" w:type="dxa"/>
            <w:left w:w="108" w:type="dxa"/>
            <w:bottom w:w="0" w:type="dxa"/>
            <w:right w:w="108" w:type="dxa"/>
          </w:tblCellMar>
        </w:tblPrEx>
        <w:trPr>
          <w:trHeight w:val="1581"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5</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ind w:left="210" w:hanging="210" w:hangingChars="100"/>
              <w:jc w:val="both"/>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管道漏点修复一</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eastAsia="zh-CN"/>
              </w:rPr>
              <w:t>管径</w:t>
            </w:r>
            <w:r>
              <w:rPr>
                <w:rFonts w:hint="eastAsia"/>
                <w:color w:val="auto"/>
                <w:sz w:val="21"/>
                <w:szCs w:val="21"/>
                <w:highlight w:val="none"/>
                <w:lang w:val="en-US" w:eastAsia="zh-CN"/>
              </w:rPr>
              <w:t>DN315及以上，含DN315型号，修复方式电熔焊接，含材料、机械、人工等。</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处</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7</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3325</w:t>
            </w: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23275</w:t>
            </w:r>
          </w:p>
        </w:tc>
        <w:tc>
          <w:tcPr>
            <w:tcW w:w="103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1149" w:hRule="atLeast"/>
        </w:trPr>
        <w:tc>
          <w:tcPr>
            <w:tcW w:w="360"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6</w:t>
            </w:r>
          </w:p>
        </w:tc>
        <w:tc>
          <w:tcPr>
            <w:tcW w:w="646" w:type="pct"/>
            <w:tcBorders>
              <w:top w:val="single" w:color="000000" w:sz="4" w:space="0"/>
              <w:left w:val="single" w:color="000000" w:sz="4" w:space="0"/>
              <w:bottom w:val="single" w:color="auto" w:sz="4" w:space="0"/>
              <w:right w:val="single" w:color="000000" w:sz="4" w:space="0"/>
            </w:tcBorders>
            <w:noWrap/>
            <w:vAlign w:val="center"/>
          </w:tcPr>
          <w:p>
            <w:pPr>
              <w:widowControl/>
              <w:ind w:left="210" w:hanging="210" w:hangingChars="100"/>
              <w:jc w:val="both"/>
              <w:textAlignment w:val="center"/>
              <w:rPr>
                <w:rFonts w:hint="eastAsia" w:eastAsia="宋体"/>
                <w:color w:val="auto"/>
                <w:sz w:val="21"/>
                <w:szCs w:val="21"/>
                <w:highlight w:val="none"/>
                <w:lang w:eastAsia="zh-CN"/>
              </w:rPr>
            </w:pPr>
            <w:r>
              <w:rPr>
                <w:rFonts w:hint="eastAsia"/>
                <w:color w:val="auto"/>
                <w:sz w:val="21"/>
                <w:szCs w:val="21"/>
                <w:highlight w:val="none"/>
                <w:lang w:eastAsia="zh-CN"/>
              </w:rPr>
              <w:t>管道漏点修复二</w:t>
            </w:r>
          </w:p>
        </w:tc>
        <w:tc>
          <w:tcPr>
            <w:tcW w:w="994"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1"/>
                <w:szCs w:val="21"/>
                <w:highlight w:val="none"/>
                <w:lang w:eastAsia="zh-CN"/>
              </w:rPr>
            </w:pPr>
            <w:r>
              <w:rPr>
                <w:rFonts w:hint="eastAsia" w:ascii="宋体" w:hAnsi="宋体" w:cs="宋体"/>
                <w:color w:val="000000" w:themeColor="text1"/>
                <w:sz w:val="21"/>
                <w:szCs w:val="21"/>
                <w:highlight w:val="none"/>
                <w:lang w:eastAsia="zh-CN"/>
                <w14:textFill>
                  <w14:solidFill>
                    <w14:schemeClr w14:val="tx1"/>
                  </w14:solidFill>
                </w14:textFill>
              </w:rPr>
              <w:t>管径</w:t>
            </w:r>
            <w:r>
              <w:rPr>
                <w:rFonts w:hint="eastAsia" w:ascii="宋体" w:hAnsi="宋体" w:cs="宋体"/>
                <w:color w:val="000000" w:themeColor="text1"/>
                <w:sz w:val="21"/>
                <w:szCs w:val="21"/>
                <w:highlight w:val="none"/>
                <w:lang w:val="en-US" w:eastAsia="zh-CN"/>
                <w14:textFill>
                  <w14:solidFill>
                    <w14:schemeClr w14:val="tx1"/>
                  </w14:solidFill>
                </w14:textFill>
              </w:rPr>
              <w:t>DN200型号，修复方式电熔焊接，含材料、机械、人工等。</w:t>
            </w:r>
          </w:p>
        </w:tc>
        <w:tc>
          <w:tcPr>
            <w:tcW w:w="385"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处</w:t>
            </w:r>
          </w:p>
        </w:tc>
        <w:tc>
          <w:tcPr>
            <w:tcW w:w="552"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c>
          <w:tcPr>
            <w:tcW w:w="504"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1900</w:t>
            </w:r>
          </w:p>
        </w:tc>
        <w:tc>
          <w:tcPr>
            <w:tcW w:w="521"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3800</w:t>
            </w:r>
          </w:p>
        </w:tc>
        <w:tc>
          <w:tcPr>
            <w:tcW w:w="1034"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1506"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7</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eastAsia="zh-CN"/>
              </w:rPr>
              <w:t>管道漏点修复三</w:t>
            </w:r>
          </w:p>
        </w:tc>
        <w:tc>
          <w:tcPr>
            <w:tcW w:w="99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eastAsia="zh-CN"/>
              </w:rPr>
              <w:t>管径</w:t>
            </w:r>
            <w:r>
              <w:rPr>
                <w:rFonts w:hint="eastAsia"/>
                <w:color w:val="auto"/>
                <w:sz w:val="21"/>
                <w:szCs w:val="21"/>
                <w:highlight w:val="none"/>
                <w:lang w:val="en-US" w:eastAsia="zh-CN"/>
              </w:rPr>
              <w:t>DN110以下（含110），修复方式电熔焊接或热熔焊接，含材料、机械、人工等。</w:t>
            </w:r>
          </w:p>
        </w:tc>
        <w:tc>
          <w:tcPr>
            <w:tcW w:w="3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处</w:t>
            </w:r>
          </w:p>
        </w:tc>
        <w:tc>
          <w:tcPr>
            <w:tcW w:w="55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50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1425</w:t>
            </w:r>
          </w:p>
        </w:tc>
        <w:tc>
          <w:tcPr>
            <w:tcW w:w="52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4275</w:t>
            </w:r>
          </w:p>
        </w:tc>
        <w:tc>
          <w:tcPr>
            <w:tcW w:w="103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2006" w:hRule="atLeast"/>
        </w:trPr>
        <w:tc>
          <w:tcPr>
            <w:tcW w:w="36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w:t>
            </w:r>
          </w:p>
        </w:tc>
        <w:tc>
          <w:tcPr>
            <w:tcW w:w="646"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eastAsia="zh-CN"/>
              </w:rPr>
              <w:t>地面恢复</w:t>
            </w:r>
          </w:p>
        </w:tc>
        <w:tc>
          <w:tcPr>
            <w:tcW w:w="994"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val="en-US" w:eastAsia="zh-CN"/>
              </w:rPr>
              <w:t>按原开挖时结构层及面层材料原样恢复，包括人材机、建渣外运和弃置、路面冲洗。（不按分项工程量计算，按处计算）。</w:t>
            </w:r>
          </w:p>
        </w:tc>
        <w:tc>
          <w:tcPr>
            <w:tcW w:w="385"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处</w:t>
            </w:r>
          </w:p>
        </w:tc>
        <w:tc>
          <w:tcPr>
            <w:tcW w:w="552"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504"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5225</w:t>
            </w:r>
          </w:p>
        </w:tc>
        <w:tc>
          <w:tcPr>
            <w:tcW w:w="521"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47025</w:t>
            </w:r>
          </w:p>
        </w:tc>
        <w:tc>
          <w:tcPr>
            <w:tcW w:w="1034"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2403"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eastAsia="zh-CN"/>
              </w:rPr>
              <w:t>绿化带内</w:t>
            </w:r>
          </w:p>
        </w:tc>
        <w:tc>
          <w:tcPr>
            <w:tcW w:w="99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val="en-US" w:eastAsia="zh-CN"/>
              </w:rPr>
              <w:t>坑道回填、平场、绿植原样恢复，包括：补栽苗木为成活苗，栽种好后浇一次浸透水、人工、机械等，不按分项工程量计算，按处计算）。</w:t>
            </w:r>
          </w:p>
        </w:tc>
        <w:tc>
          <w:tcPr>
            <w:tcW w:w="3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处</w:t>
            </w:r>
          </w:p>
        </w:tc>
        <w:tc>
          <w:tcPr>
            <w:tcW w:w="55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50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950</w:t>
            </w:r>
          </w:p>
        </w:tc>
        <w:tc>
          <w:tcPr>
            <w:tcW w:w="52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2850</w:t>
            </w:r>
          </w:p>
        </w:tc>
        <w:tc>
          <w:tcPr>
            <w:tcW w:w="103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481" w:hRule="atLeast"/>
        </w:trPr>
        <w:tc>
          <w:tcPr>
            <w:tcW w:w="36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合计：</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eastAsia="zh-CN"/>
              </w:rPr>
            </w:pPr>
          </w:p>
        </w:tc>
        <w:tc>
          <w:tcPr>
            <w:tcW w:w="99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1"/>
                <w:szCs w:val="21"/>
                <w:highlight w:val="none"/>
                <w:lang w:val="en-US" w:eastAsia="zh-CN"/>
              </w:rPr>
            </w:pPr>
          </w:p>
        </w:tc>
        <w:tc>
          <w:tcPr>
            <w:tcW w:w="3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p>
        </w:tc>
        <w:tc>
          <w:tcPr>
            <w:tcW w:w="55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p>
        </w:tc>
        <w:tc>
          <w:tcPr>
            <w:tcW w:w="50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160550</w:t>
            </w:r>
          </w:p>
        </w:tc>
        <w:tc>
          <w:tcPr>
            <w:tcW w:w="103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p>
        </w:tc>
      </w:tr>
      <w:bookmarkEnd w:id="40"/>
      <w:bookmarkEnd w:id="41"/>
    </w:tbl>
    <w:p>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firstLine="0" w:firstLineChars="0"/>
        <w:textAlignment w:val="auto"/>
        <w:outlineLvl w:val="1"/>
        <w:rPr>
          <w:rFonts w:hint="eastAsia" w:ascii="宋体" w:hAnsi="Times New Roman" w:eastAsia="宋体" w:cs="宋体"/>
          <w:i w:val="0"/>
          <w:iCs w:val="0"/>
          <w:color w:val="auto"/>
          <w:kern w:val="2"/>
          <w:sz w:val="24"/>
          <w:szCs w:val="24"/>
          <w:highlight w:val="none"/>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firstLine="0" w:firstLineChars="0"/>
        <w:textAlignment w:val="auto"/>
        <w:outlineLvl w:val="1"/>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eastAsia" w:ascii="宋体" w:hAnsi="Times New Roman" w:eastAsia="宋体" w:cs="宋体"/>
          <w:i w:val="0"/>
          <w:iCs w:val="0"/>
          <w:color w:val="auto"/>
          <w:kern w:val="2"/>
          <w:sz w:val="24"/>
          <w:szCs w:val="24"/>
          <w:highlight w:val="none"/>
          <w:u w:val="none"/>
          <w:lang w:val="en-US" w:eastAsia="zh-CN" w:bidi="ar-SA"/>
        </w:rPr>
        <w:t>注:</w:t>
      </w:r>
      <w:r>
        <w:rPr>
          <w:rFonts w:hint="eastAsia" w:ascii="宋体" w:cs="宋体"/>
          <w:i w:val="0"/>
          <w:iCs w:val="0"/>
          <w:color w:val="auto"/>
          <w:kern w:val="2"/>
          <w:sz w:val="24"/>
          <w:szCs w:val="24"/>
          <w:highlight w:val="none"/>
          <w:u w:val="none"/>
          <w:lang w:val="en-US" w:eastAsia="zh-CN" w:bidi="ar-SA"/>
        </w:rPr>
        <w:t xml:space="preserve"> </w:t>
      </w:r>
      <w:r>
        <w:rPr>
          <w:rFonts w:hint="eastAsia" w:ascii="宋体" w:hAnsi="Times New Roman" w:eastAsia="宋体" w:cs="宋体"/>
          <w:i w:val="0"/>
          <w:iCs w:val="0"/>
          <w:color w:val="auto"/>
          <w:kern w:val="2"/>
          <w:sz w:val="24"/>
          <w:szCs w:val="24"/>
          <w:highlight w:val="none"/>
          <w:u w:val="none"/>
          <w:lang w:val="en-US" w:eastAsia="zh-CN" w:bidi="ar-SA"/>
        </w:rPr>
        <w:t>1</w:t>
      </w:r>
      <w:r>
        <w:rPr>
          <w:rFonts w:hint="eastAsia" w:ascii="宋体" w:cs="宋体"/>
          <w:i w:val="0"/>
          <w:iCs w:val="0"/>
          <w:color w:val="auto"/>
          <w:kern w:val="2"/>
          <w:sz w:val="24"/>
          <w:szCs w:val="24"/>
          <w:highlight w:val="none"/>
          <w:u w:val="none"/>
          <w:lang w:val="en-US" w:eastAsia="zh-CN" w:bidi="ar-SA"/>
        </w:rPr>
        <w:t>.</w:t>
      </w:r>
      <w:r>
        <w:rPr>
          <w:rFonts w:hint="eastAsia"/>
          <w:color w:val="auto"/>
          <w:sz w:val="24"/>
          <w:szCs w:val="24"/>
          <w:highlight w:val="none"/>
          <w:lang w:val="en-US" w:eastAsia="zh-CN"/>
        </w:rPr>
        <w:t>以上含税单价为全费用固定单价，</w:t>
      </w:r>
      <w:r>
        <w:rPr>
          <w:color w:val="auto"/>
          <w:sz w:val="24"/>
          <w:szCs w:val="24"/>
          <w:highlight w:val="none"/>
        </w:rPr>
        <w:t>即</w:t>
      </w:r>
      <w:r>
        <w:rPr>
          <w:color w:val="auto"/>
          <w:spacing w:val="4"/>
          <w:sz w:val="24"/>
          <w:szCs w:val="24"/>
          <w:highlight w:val="none"/>
        </w:rPr>
        <w:t>包</w:t>
      </w:r>
      <w:r>
        <w:rPr>
          <w:color w:val="auto"/>
          <w:sz w:val="24"/>
          <w:szCs w:val="24"/>
          <w:highlight w:val="none"/>
        </w:rPr>
        <w:t>括但</w:t>
      </w:r>
      <w:r>
        <w:rPr>
          <w:color w:val="auto"/>
          <w:spacing w:val="4"/>
          <w:sz w:val="24"/>
          <w:szCs w:val="24"/>
          <w:highlight w:val="none"/>
        </w:rPr>
        <w:t>不</w:t>
      </w:r>
      <w:r>
        <w:rPr>
          <w:color w:val="auto"/>
          <w:sz w:val="24"/>
          <w:szCs w:val="24"/>
          <w:highlight w:val="none"/>
        </w:rPr>
        <w:t>限于</w:t>
      </w:r>
      <w:r>
        <w:rPr>
          <w:rFonts w:hint="eastAsia"/>
          <w:color w:val="auto"/>
          <w:sz w:val="24"/>
          <w:szCs w:val="24"/>
          <w:highlight w:val="none"/>
          <w:lang w:val="en-US" w:eastAsia="zh-CN"/>
        </w:rPr>
        <w:t>机械进出场、</w:t>
      </w:r>
      <w:r>
        <w:rPr>
          <w:color w:val="auto"/>
          <w:spacing w:val="4"/>
          <w:sz w:val="24"/>
          <w:szCs w:val="24"/>
          <w:highlight w:val="none"/>
        </w:rPr>
        <w:t>材</w:t>
      </w:r>
      <w:r>
        <w:rPr>
          <w:color w:val="auto"/>
          <w:sz w:val="24"/>
          <w:szCs w:val="24"/>
          <w:highlight w:val="none"/>
        </w:rPr>
        <w:t>料费</w:t>
      </w:r>
      <w:r>
        <w:rPr>
          <w:color w:val="auto"/>
          <w:spacing w:val="-20"/>
          <w:sz w:val="24"/>
          <w:szCs w:val="24"/>
          <w:highlight w:val="none"/>
        </w:rPr>
        <w:t>、</w:t>
      </w:r>
      <w:r>
        <w:rPr>
          <w:color w:val="auto"/>
          <w:sz w:val="24"/>
          <w:szCs w:val="24"/>
          <w:highlight w:val="none"/>
        </w:rPr>
        <w:t>人</w:t>
      </w:r>
      <w:r>
        <w:rPr>
          <w:color w:val="auto"/>
          <w:spacing w:val="4"/>
          <w:sz w:val="24"/>
          <w:szCs w:val="24"/>
          <w:highlight w:val="none"/>
        </w:rPr>
        <w:t>工</w:t>
      </w:r>
      <w:r>
        <w:rPr>
          <w:color w:val="auto"/>
          <w:sz w:val="24"/>
          <w:szCs w:val="24"/>
          <w:highlight w:val="none"/>
        </w:rPr>
        <w:t>费、</w:t>
      </w:r>
      <w:r>
        <w:rPr>
          <w:rFonts w:hint="eastAsia"/>
          <w:color w:val="auto"/>
          <w:sz w:val="24"/>
          <w:szCs w:val="24"/>
          <w:highlight w:val="none"/>
          <w:lang w:val="en-US" w:eastAsia="zh-CN"/>
        </w:rPr>
        <w:t>机</w:t>
      </w:r>
      <w:r>
        <w:rPr>
          <w:rFonts w:hint="default" w:ascii="Times New Roman" w:hAnsi="Times New Roman" w:eastAsia="宋体" w:cs="Times New Roman"/>
          <w:color w:val="auto"/>
          <w:sz w:val="24"/>
          <w:szCs w:val="24"/>
          <w:highlight w:val="none"/>
          <w:lang w:val="en-US" w:eastAsia="zh-CN"/>
        </w:rPr>
        <w:t>械费、措施费、养护费、</w:t>
      </w:r>
      <w:r>
        <w:rPr>
          <w:rFonts w:ascii="Times New Roman" w:hAnsi="Times New Roman" w:eastAsia="宋体" w:cs="Times New Roman"/>
          <w:color w:val="auto"/>
          <w:sz w:val="24"/>
          <w:szCs w:val="24"/>
          <w:highlight w:val="none"/>
        </w:rPr>
        <w:t>运</w:t>
      </w:r>
      <w:r>
        <w:rPr>
          <w:rFonts w:ascii="Times New Roman" w:hAnsi="Times New Roman" w:eastAsia="宋体" w:cs="Times New Roman"/>
          <w:color w:val="auto"/>
          <w:spacing w:val="0"/>
          <w:sz w:val="24"/>
          <w:szCs w:val="24"/>
          <w:highlight w:val="none"/>
        </w:rPr>
        <w:t>输</w:t>
      </w:r>
      <w:r>
        <w:rPr>
          <w:rFonts w:ascii="Times New Roman" w:hAnsi="Times New Roman" w:eastAsia="宋体" w:cs="Times New Roman"/>
          <w:color w:val="auto"/>
          <w:sz w:val="24"/>
          <w:szCs w:val="24"/>
          <w:highlight w:val="none"/>
        </w:rPr>
        <w:t>费、搬</w:t>
      </w:r>
      <w:r>
        <w:rPr>
          <w:rFonts w:ascii="Times New Roman" w:hAnsi="Times New Roman" w:eastAsia="宋体" w:cs="Times New Roman"/>
          <w:color w:val="auto"/>
          <w:spacing w:val="0"/>
          <w:sz w:val="24"/>
          <w:szCs w:val="24"/>
          <w:highlight w:val="none"/>
        </w:rPr>
        <w:t>运</w:t>
      </w:r>
      <w:r>
        <w:rPr>
          <w:rFonts w:ascii="Times New Roman" w:hAnsi="Times New Roman" w:eastAsia="宋体" w:cs="Times New Roman"/>
          <w:color w:val="auto"/>
          <w:sz w:val="24"/>
          <w:szCs w:val="24"/>
          <w:highlight w:val="none"/>
        </w:rPr>
        <w:t>费、</w:t>
      </w:r>
      <w:r>
        <w:rPr>
          <w:rFonts w:hint="default" w:ascii="Times New Roman" w:hAnsi="Times New Roman" w:eastAsia="宋体" w:cs="Times New Roman"/>
          <w:color w:val="auto"/>
          <w:sz w:val="24"/>
          <w:szCs w:val="24"/>
          <w:highlight w:val="none"/>
          <w:lang w:val="en-US" w:eastAsia="zh-CN"/>
        </w:rPr>
        <w:t>上</w:t>
      </w:r>
      <w:r>
        <w:rPr>
          <w:rFonts w:ascii="Times New Roman" w:hAnsi="Times New Roman" w:eastAsia="宋体" w:cs="Times New Roman"/>
          <w:color w:val="auto"/>
          <w:sz w:val="24"/>
          <w:szCs w:val="24"/>
          <w:highlight w:val="none"/>
        </w:rPr>
        <w:t>下</w:t>
      </w:r>
      <w:r>
        <w:rPr>
          <w:rFonts w:ascii="Times New Roman" w:hAnsi="Times New Roman" w:eastAsia="宋体" w:cs="Times New Roman"/>
          <w:color w:val="auto"/>
          <w:spacing w:val="0"/>
          <w:sz w:val="24"/>
          <w:szCs w:val="24"/>
          <w:highlight w:val="none"/>
        </w:rPr>
        <w:t>车</w:t>
      </w:r>
      <w:r>
        <w:rPr>
          <w:rFonts w:ascii="Times New Roman" w:hAnsi="Times New Roman" w:eastAsia="宋体" w:cs="Times New Roman"/>
          <w:color w:val="auto"/>
          <w:sz w:val="24"/>
          <w:szCs w:val="24"/>
          <w:highlight w:val="none"/>
        </w:rPr>
        <w:t>费</w:t>
      </w:r>
      <w:r>
        <w:rPr>
          <w:rFonts w:ascii="Times New Roman" w:hAnsi="Times New Roman" w:eastAsia="宋体" w:cs="Times New Roman"/>
          <w:color w:val="auto"/>
          <w:spacing w:val="0"/>
          <w:sz w:val="24"/>
          <w:szCs w:val="24"/>
          <w:highlight w:val="none"/>
        </w:rPr>
        <w:t>、</w:t>
      </w:r>
      <w:r>
        <w:rPr>
          <w:rFonts w:ascii="Times New Roman" w:hAnsi="Times New Roman" w:eastAsia="宋体" w:cs="Times New Roman"/>
          <w:color w:val="auto"/>
          <w:sz w:val="24"/>
          <w:szCs w:val="24"/>
          <w:highlight w:val="none"/>
        </w:rPr>
        <w:t>管</w:t>
      </w:r>
      <w:r>
        <w:rPr>
          <w:rFonts w:ascii="Times New Roman" w:hAnsi="Times New Roman" w:eastAsia="宋体" w:cs="Times New Roman"/>
          <w:color w:val="auto"/>
          <w:spacing w:val="0"/>
          <w:sz w:val="24"/>
          <w:szCs w:val="24"/>
          <w:highlight w:val="none"/>
        </w:rPr>
        <w:t>理</w:t>
      </w:r>
      <w:r>
        <w:rPr>
          <w:rFonts w:ascii="Times New Roman" w:hAnsi="Times New Roman" w:eastAsia="宋体" w:cs="Times New Roman"/>
          <w:color w:val="auto"/>
          <w:sz w:val="24"/>
          <w:szCs w:val="24"/>
          <w:highlight w:val="none"/>
        </w:rPr>
        <w:t>费、利润、税</w:t>
      </w:r>
      <w:r>
        <w:rPr>
          <w:rFonts w:ascii="Times New Roman" w:hAnsi="Times New Roman" w:eastAsia="宋体" w:cs="Times New Roman"/>
          <w:color w:val="auto"/>
          <w:spacing w:val="0"/>
          <w:sz w:val="24"/>
          <w:szCs w:val="24"/>
          <w:highlight w:val="none"/>
        </w:rPr>
        <w:t>金</w:t>
      </w:r>
      <w:r>
        <w:rPr>
          <w:rFonts w:ascii="Times New Roman" w:hAnsi="Times New Roman" w:eastAsia="宋体" w:cs="Times New Roman"/>
          <w:b w:val="0"/>
          <w:color w:val="auto"/>
          <w:spacing w:val="0"/>
          <w:sz w:val="24"/>
          <w:szCs w:val="24"/>
          <w:highlight w:val="none"/>
          <w:u w:val="none"/>
        </w:rPr>
        <w:t>（</w:t>
      </w:r>
      <w:r>
        <w:rPr>
          <w:rFonts w:hint="eastAsia" w:cs="Times New Roman"/>
          <w:b w:val="0"/>
          <w:color w:val="auto"/>
          <w:spacing w:val="0"/>
          <w:sz w:val="24"/>
          <w:szCs w:val="24"/>
          <w:highlight w:val="none"/>
          <w:u w:val="none"/>
          <w:lang w:val="en-US" w:eastAsia="zh-CN"/>
        </w:rPr>
        <w:t xml:space="preserve"> </w:t>
      </w:r>
      <w:r>
        <w:rPr>
          <w:rFonts w:hint="default" w:ascii="Times New Roman" w:hAnsi="Times New Roman" w:eastAsia="宋体" w:cs="Times New Roman"/>
          <w:b w:val="0"/>
          <w:color w:val="auto"/>
          <w:spacing w:val="0"/>
          <w:sz w:val="24"/>
          <w:szCs w:val="24"/>
          <w:highlight w:val="none"/>
          <w:u w:val="none"/>
          <w:lang w:val="en-US" w:eastAsia="zh-CN"/>
        </w:rPr>
        <w:t>9</w:t>
      </w:r>
      <w:r>
        <w:rPr>
          <w:rFonts w:hint="eastAsia" w:cs="Times New Roman"/>
          <w:b w:val="0"/>
          <w:color w:val="auto"/>
          <w:spacing w:val="0"/>
          <w:sz w:val="24"/>
          <w:szCs w:val="24"/>
          <w:highlight w:val="none"/>
          <w:u w:val="none"/>
          <w:lang w:val="en-US" w:eastAsia="zh-CN"/>
        </w:rPr>
        <w:t xml:space="preserve"> </w:t>
      </w:r>
      <w:r>
        <w:rPr>
          <w:rFonts w:ascii="Times New Roman" w:hAnsi="Times New Roman" w:eastAsia="宋体" w:cs="Times New Roman"/>
          <w:b w:val="0"/>
          <w:color w:val="auto"/>
          <w:sz w:val="24"/>
          <w:szCs w:val="24"/>
          <w:highlight w:val="none"/>
          <w:u w:val="none"/>
        </w:rPr>
        <w:t>%</w:t>
      </w:r>
      <w:r>
        <w:rPr>
          <w:rFonts w:hint="eastAsia" w:cs="Times New Roman"/>
          <w:b w:val="0"/>
          <w:color w:val="auto"/>
          <w:sz w:val="24"/>
          <w:szCs w:val="24"/>
          <w:highlight w:val="none"/>
          <w:u w:val="none"/>
          <w:lang w:val="en-US" w:eastAsia="zh-CN"/>
        </w:rPr>
        <w:t xml:space="preserve"> </w:t>
      </w:r>
      <w:r>
        <w:rPr>
          <w:rFonts w:ascii="Times New Roman" w:hAnsi="Times New Roman" w:eastAsia="宋体" w:cs="Times New Roman"/>
          <w:b w:val="0"/>
          <w:color w:val="auto"/>
          <w:sz w:val="24"/>
          <w:szCs w:val="24"/>
          <w:highlight w:val="none"/>
          <w:u w:val="none"/>
        </w:rPr>
        <w: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i w:val="0"/>
          <w:iCs w:val="0"/>
          <w:color w:val="auto"/>
          <w:kern w:val="2"/>
          <w:sz w:val="24"/>
          <w:szCs w:val="24"/>
          <w:highlight w:val="none"/>
          <w:u w:val="none"/>
          <w:lang w:val="en-US" w:eastAsia="zh-CN" w:bidi="ar-SA"/>
        </w:rPr>
        <w:t>验收合格交付使用之前及质保期内服务与备用物件等所有其他有关各项的含税费用；</w:t>
      </w: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firstLine="480" w:firstLineChars="200"/>
        <w:textAlignment w:val="auto"/>
        <w:outlineLvl w:val="1"/>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2"/>
          <w:sz w:val="24"/>
          <w:szCs w:val="24"/>
          <w:highlight w:val="none"/>
          <w:u w:val="none"/>
          <w:lang w:val="en-US" w:eastAsia="zh-CN" w:bidi="ar-SA"/>
        </w:rPr>
        <w:t>2</w:t>
      </w:r>
      <w:r>
        <w:rPr>
          <w:rFonts w:hint="eastAsia" w:cs="Times New Roman"/>
          <w:i w:val="0"/>
          <w:iCs w:val="0"/>
          <w:color w:val="auto"/>
          <w:kern w:val="2"/>
          <w:sz w:val="24"/>
          <w:szCs w:val="24"/>
          <w:highlight w:val="none"/>
          <w:u w:val="none"/>
          <w:lang w:val="en-US" w:eastAsia="zh-CN" w:bidi="ar-SA"/>
        </w:rPr>
        <w:t>.</w:t>
      </w:r>
      <w:r>
        <w:rPr>
          <w:rFonts w:hint="default" w:ascii="Times New Roman" w:hAnsi="Times New Roman" w:eastAsia="宋体" w:cs="Times New Roman"/>
          <w:i w:val="0"/>
          <w:iCs w:val="0"/>
          <w:color w:val="auto"/>
          <w:kern w:val="2"/>
          <w:sz w:val="24"/>
          <w:szCs w:val="24"/>
          <w:highlight w:val="none"/>
          <w:u w:val="none"/>
          <w:lang w:val="en-US" w:eastAsia="zh-CN" w:bidi="ar-SA"/>
        </w:rPr>
        <w:t>修复/恢复的材料须不低于原材料的规格型号，质量</w:t>
      </w:r>
      <w:r>
        <w:rPr>
          <w:rFonts w:hint="eastAsia" w:ascii="Times New Roman" w:hAnsi="Times New Roman" w:eastAsia="宋体" w:cs="Times New Roman"/>
          <w:color w:val="auto"/>
          <w:kern w:val="2"/>
          <w:sz w:val="24"/>
          <w:szCs w:val="24"/>
          <w:highlight w:val="none"/>
          <w:lang w:val="en-US" w:eastAsia="zh-CN" w:bidi="ar-SA"/>
        </w:rPr>
        <w:t>符合国家现行工程施工质量验收规范合格标准</w:t>
      </w:r>
      <w:r>
        <w:rPr>
          <w:rFonts w:hint="default" w:ascii="Times New Roman" w:hAnsi="Times New Roman" w:eastAsia="宋体" w:cs="Times New Roman"/>
          <w:color w:val="auto"/>
          <w:kern w:val="2"/>
          <w:sz w:val="24"/>
          <w:szCs w:val="24"/>
          <w:highlight w:val="none"/>
          <w:lang w:val="en-US" w:eastAsia="zh-CN" w:bidi="ar-SA"/>
        </w:rPr>
        <w:t>；</w:t>
      </w:r>
    </w:p>
    <w:p>
      <w:pPr>
        <w:numPr>
          <w:ilvl w:val="0"/>
          <w:numId w:val="0"/>
        </w:numPr>
        <w:spacing w:line="534" w:lineRule="exact"/>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cs="Times New Roman"/>
          <w:color w:val="auto"/>
          <w:kern w:val="2"/>
          <w:sz w:val="24"/>
          <w:szCs w:val="24"/>
          <w:highlight w:val="none"/>
          <w:lang w:val="en-US" w:eastAsia="zh-CN" w:bidi="ar-SA"/>
        </w:rPr>
        <w:t>3</w:t>
      </w:r>
      <w:r>
        <w:rPr>
          <w:rFonts w:hint="eastAsia"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采购数量按实际交付数量结算。</w:t>
      </w:r>
    </w:p>
    <w:p>
      <w:pPr>
        <w:numPr>
          <w:ilvl w:val="0"/>
          <w:numId w:val="0"/>
        </w:numPr>
        <w:spacing w:line="534" w:lineRule="exact"/>
        <w:ind w:firstLine="480" w:firstLineChars="200"/>
        <w:jc w:val="left"/>
        <w:outlineLvl w:val="1"/>
        <w:rPr>
          <w:rFonts w:hint="default"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4</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本表数量为暂定</w:t>
      </w:r>
      <w:r>
        <w:rPr>
          <w:rFonts w:hint="default" w:ascii="Times New Roman" w:hAnsi="Times New Roman" w:eastAsia="宋体" w:cs="Times New Roman"/>
          <w:color w:val="auto"/>
          <w:sz w:val="24"/>
          <w:highlight w:val="none"/>
          <w:lang w:val="en-US" w:eastAsia="zh-CN"/>
        </w:rPr>
        <w:t>工程量</w:t>
      </w:r>
      <w:r>
        <w:rPr>
          <w:rFonts w:hint="default" w:ascii="Times New Roman" w:hAnsi="Times New Roman" w:eastAsia="宋体" w:cs="Times New Roman"/>
          <w:color w:val="auto"/>
          <w:sz w:val="24"/>
          <w:highlight w:val="none"/>
          <w:lang w:eastAsia="zh-CN"/>
        </w:rPr>
        <w:t>，最终</w:t>
      </w:r>
      <w:r>
        <w:rPr>
          <w:rFonts w:hint="default" w:ascii="Times New Roman" w:hAnsi="Times New Roman" w:eastAsia="宋体" w:cs="Times New Roman"/>
          <w:color w:val="auto"/>
          <w:sz w:val="24"/>
          <w:highlight w:val="none"/>
          <w:lang w:val="en-US" w:eastAsia="zh-CN"/>
        </w:rPr>
        <w:t>工程量</w:t>
      </w:r>
      <w:r>
        <w:rPr>
          <w:rFonts w:hint="default" w:ascii="Times New Roman" w:hAnsi="Times New Roman" w:eastAsia="宋体" w:cs="Times New Roman"/>
          <w:color w:val="auto"/>
          <w:sz w:val="24"/>
          <w:highlight w:val="none"/>
          <w:lang w:eastAsia="zh-CN"/>
        </w:rPr>
        <w:t>按照</w:t>
      </w:r>
      <w:r>
        <w:rPr>
          <w:rFonts w:hint="default" w:ascii="Times New Roman" w:hAnsi="Times New Roman" w:eastAsia="宋体" w:cs="Times New Roman"/>
          <w:color w:val="auto"/>
          <w:sz w:val="24"/>
          <w:highlight w:val="none"/>
          <w:lang w:val="en-US" w:eastAsia="zh-CN"/>
        </w:rPr>
        <w:t>采购人</w:t>
      </w:r>
      <w:r>
        <w:rPr>
          <w:rFonts w:hint="default" w:ascii="Times New Roman" w:hAnsi="Times New Roman" w:eastAsia="宋体" w:cs="Times New Roman"/>
          <w:color w:val="auto"/>
          <w:sz w:val="24"/>
          <w:highlight w:val="none"/>
          <w:lang w:eastAsia="zh-CN"/>
        </w:rPr>
        <w:t>验收合格的数量为准；</w:t>
      </w:r>
    </w:p>
    <w:p>
      <w:pPr>
        <w:numPr>
          <w:ilvl w:val="0"/>
          <w:numId w:val="0"/>
        </w:numPr>
        <w:spacing w:line="534" w:lineRule="exact"/>
        <w:ind w:firstLine="480" w:firstLineChars="200"/>
        <w:jc w:val="left"/>
        <w:outlineLvl w:val="1"/>
        <w:rPr>
          <w:rFonts w:hint="default"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5</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报价保留</w:t>
      </w:r>
      <w:r>
        <w:rPr>
          <w:rFonts w:hint="default" w:ascii="Times New Roman" w:hAnsi="Times New Roman" w:eastAsia="宋体" w:cs="Times New Roman"/>
          <w:color w:val="auto"/>
          <w:sz w:val="24"/>
          <w:highlight w:val="none"/>
          <w:lang w:val="en-US" w:eastAsia="zh-CN"/>
        </w:rPr>
        <w:t>两</w:t>
      </w:r>
      <w:r>
        <w:rPr>
          <w:rFonts w:hint="default" w:ascii="Times New Roman" w:hAnsi="Times New Roman" w:eastAsia="宋体" w:cs="Times New Roman"/>
          <w:color w:val="auto"/>
          <w:sz w:val="24"/>
          <w:highlight w:val="none"/>
          <w:lang w:eastAsia="zh-CN"/>
        </w:rPr>
        <w:t>位小数（小数位数不作为废标条件）；</w:t>
      </w: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firstLine="480" w:firstLineChars="200"/>
        <w:jc w:val="left"/>
        <w:textAlignment w:val="auto"/>
        <w:outlineLvl w:val="1"/>
        <w:rPr>
          <w:rFonts w:hint="eastAsia" w:ascii="Times New Roman" w:hAnsi="Times New Roman" w:eastAsia="宋体" w:cs="Times New Roman"/>
          <w:bCs w:val="0"/>
          <w:color w:val="auto"/>
          <w:sz w:val="24"/>
          <w:highlight w:val="none"/>
          <w:lang w:val="en-US" w:eastAsia="zh-CN"/>
        </w:rPr>
      </w:pPr>
      <w:r>
        <w:rPr>
          <w:rFonts w:hint="default" w:ascii="Times New Roman" w:hAnsi="Times New Roman" w:eastAsia="宋体" w:cs="Times New Roman"/>
          <w:color w:val="auto"/>
          <w:sz w:val="24"/>
          <w:highlight w:val="none"/>
          <w:lang w:val="en-US" w:eastAsia="zh-CN"/>
        </w:rPr>
        <w:t>6</w:t>
      </w:r>
      <w:r>
        <w:rPr>
          <w:rFonts w:hint="default"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报价为含税价，税率为9%，税率最终按实结算</w:t>
      </w:r>
      <w:r>
        <w:rPr>
          <w:rFonts w:hint="eastAsia" w:cs="Times New Roman"/>
          <w:color w:val="auto"/>
          <w:sz w:val="24"/>
          <w:highlight w:val="none"/>
          <w:lang w:val="en-US" w:eastAsia="zh-CN"/>
        </w:rPr>
        <w:t>；</w:t>
      </w:r>
    </w:p>
    <w:p>
      <w:pPr>
        <w:numPr>
          <w:ilvl w:val="0"/>
          <w:numId w:val="0"/>
        </w:numPr>
        <w:spacing w:line="534" w:lineRule="exact"/>
        <w:ind w:firstLine="480" w:firstLineChars="200"/>
        <w:jc w:val="left"/>
        <w:outlineLvl w:val="1"/>
        <w:rPr>
          <w:rFonts w:hint="default" w:ascii="Times New Roman" w:hAnsi="Times New Roman"/>
          <w:b w:val="0"/>
          <w:color w:val="auto"/>
          <w:sz w:val="24"/>
          <w:highlight w:val="none"/>
          <w:lang w:val="en-US" w:eastAsia="zh-CN"/>
        </w:rPr>
      </w:pPr>
      <w:r>
        <w:rPr>
          <w:rFonts w:hint="default" w:ascii="Times New Roman" w:hAnsi="Times New Roman"/>
          <w:b w:val="0"/>
          <w:color w:val="auto"/>
          <w:sz w:val="24"/>
          <w:highlight w:val="none"/>
          <w:lang w:val="en-US" w:eastAsia="zh-CN"/>
        </w:rPr>
        <w:t>7.</w:t>
      </w:r>
      <w:r>
        <w:rPr>
          <w:rFonts w:hint="eastAsia"/>
          <w:b w:val="0"/>
          <w:color w:val="auto"/>
          <w:sz w:val="24"/>
          <w:highlight w:val="none"/>
          <w:lang w:val="en-US" w:eastAsia="zh-CN"/>
        </w:rPr>
        <w:t>检测方法为：</w:t>
      </w:r>
      <w:r>
        <w:rPr>
          <w:rFonts w:hint="default"/>
          <w:color w:val="auto"/>
          <w:sz w:val="24"/>
          <w:szCs w:val="24"/>
          <w:highlight w:val="none"/>
          <w:lang w:val="en-US" w:eastAsia="zh-CN"/>
        </w:rPr>
        <w:t>示踪气体检测法</w:t>
      </w:r>
      <w:r>
        <w:rPr>
          <w:rFonts w:hint="eastAsia"/>
          <w:color w:val="auto"/>
          <w:sz w:val="24"/>
          <w:szCs w:val="24"/>
          <w:highlight w:val="none"/>
          <w:lang w:val="en-US" w:eastAsia="zh-CN"/>
        </w:rPr>
        <w:t>。</w:t>
      </w:r>
    </w:p>
    <w:p>
      <w:pPr>
        <w:numPr>
          <w:ilvl w:val="0"/>
          <w:numId w:val="0"/>
        </w:numPr>
        <w:outlineLvl w:val="1"/>
        <w:rPr>
          <w:rFonts w:hint="eastAsia" w:ascii="宋体" w:hAnsi="宋体"/>
          <w:b/>
          <w:color w:val="auto"/>
          <w:sz w:val="32"/>
          <w:highlight w:val="none"/>
          <w:lang w:eastAsia="zh-CN"/>
        </w:rPr>
      </w:pPr>
    </w:p>
    <w:p>
      <w:pPr>
        <w:numPr>
          <w:ilvl w:val="0"/>
          <w:numId w:val="0"/>
        </w:numPr>
        <w:outlineLvl w:val="1"/>
        <w:rPr>
          <w:rFonts w:hint="eastAsia" w:ascii="宋体" w:hAnsi="宋体"/>
          <w:b/>
          <w:color w:val="auto"/>
          <w:sz w:val="32"/>
          <w:highlight w:val="none"/>
          <w:lang w:eastAsia="zh-CN"/>
        </w:rPr>
      </w:pPr>
      <w:r>
        <w:rPr>
          <w:rFonts w:hint="eastAsia" w:ascii="宋体" w:hAnsi="宋体"/>
          <w:b/>
          <w:color w:val="auto"/>
          <w:sz w:val="32"/>
          <w:highlight w:val="none"/>
          <w:lang w:eastAsia="zh-CN"/>
        </w:rPr>
        <w:t>三、</w:t>
      </w:r>
      <w:r>
        <w:rPr>
          <w:rFonts w:hint="eastAsia" w:ascii="宋体" w:hAnsi="宋体"/>
          <w:b/>
          <w:color w:val="auto"/>
          <w:sz w:val="32"/>
          <w:highlight w:val="none"/>
          <w:lang w:val="en-US" w:eastAsia="zh-CN"/>
        </w:rPr>
        <w:t>服务</w:t>
      </w:r>
      <w:r>
        <w:rPr>
          <w:rFonts w:hint="eastAsia" w:ascii="宋体" w:hAnsi="宋体"/>
          <w:b/>
          <w:color w:val="auto"/>
          <w:sz w:val="32"/>
          <w:highlight w:val="none"/>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leftChars="0" w:firstLine="480" w:firstLineChars="200"/>
        <w:textAlignment w:val="auto"/>
        <w:outlineLvl w:val="1"/>
        <w:rPr>
          <w:rFonts w:hint="eastAsia" w:ascii="宋体" w:hAnsi="Times New Roman" w:eastAsia="宋体" w:cs="宋体"/>
          <w:kern w:val="2"/>
          <w:sz w:val="24"/>
          <w:szCs w:val="24"/>
          <w:highlight w:val="none"/>
          <w:lang w:val="en-US" w:eastAsia="zh-CN" w:bidi="ar-SA"/>
        </w:rPr>
      </w:pPr>
      <w:bookmarkStart w:id="42" w:name="_Toc1938"/>
      <w:bookmarkStart w:id="43" w:name="_Toc91771163"/>
      <w:r>
        <w:rPr>
          <w:rFonts w:hint="eastAsia" w:ascii="宋体" w:cs="宋体"/>
          <w:kern w:val="2"/>
          <w:sz w:val="24"/>
          <w:szCs w:val="24"/>
          <w:highlight w:val="none"/>
          <w:lang w:val="en-US" w:eastAsia="zh-CN" w:bidi="ar-SA"/>
        </w:rPr>
        <w:t>1.</w:t>
      </w:r>
      <w:r>
        <w:rPr>
          <w:rFonts w:hint="eastAsia" w:ascii="宋体" w:hAnsi="Times New Roman" w:eastAsia="宋体" w:cs="宋体"/>
          <w:kern w:val="2"/>
          <w:sz w:val="24"/>
          <w:szCs w:val="24"/>
          <w:highlight w:val="none"/>
          <w:lang w:val="en-US" w:eastAsia="zh-CN" w:bidi="ar-SA"/>
        </w:rPr>
        <w:t>质保期：</w:t>
      </w:r>
      <w:r>
        <w:rPr>
          <w:rFonts w:hint="eastAsia" w:ascii="宋体" w:cs="宋体"/>
          <w:kern w:val="2"/>
          <w:sz w:val="24"/>
          <w:szCs w:val="24"/>
          <w:highlight w:val="none"/>
          <w:lang w:val="en-US" w:eastAsia="zh-CN" w:bidi="ar-SA"/>
        </w:rPr>
        <w:t>竣工验收合格之日起算</w:t>
      </w:r>
      <w:r>
        <w:rPr>
          <w:rFonts w:hint="eastAsia" w:ascii="宋体" w:hAnsi="Times New Roman" w:eastAsia="宋体" w:cs="宋体"/>
          <w:kern w:val="2"/>
          <w:sz w:val="24"/>
          <w:szCs w:val="24"/>
          <w:highlight w:val="none"/>
          <w:lang w:val="en-US" w:eastAsia="zh-CN" w:bidi="ar-SA"/>
        </w:rPr>
        <w:t>2年</w:t>
      </w:r>
      <w:r>
        <w:rPr>
          <w:rFonts w:hint="eastAsia" w:ascii="宋体" w:cs="宋体"/>
          <w:kern w:val="2"/>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leftChars="0" w:firstLine="480" w:firstLineChars="200"/>
        <w:textAlignment w:val="auto"/>
        <w:outlineLvl w:val="1"/>
        <w:rPr>
          <w:rFonts w:hint="default" w:ascii="宋体" w:hAnsi="Times New Roman" w:eastAsia="宋体" w:cs="宋体"/>
          <w:kern w:val="2"/>
          <w:sz w:val="24"/>
          <w:szCs w:val="24"/>
          <w:highlight w:val="none"/>
          <w:lang w:val="en-US" w:eastAsia="zh-CN" w:bidi="ar-SA"/>
        </w:rPr>
      </w:pPr>
      <w:r>
        <w:rPr>
          <w:rFonts w:hint="eastAsia" w:ascii="宋体" w:cs="宋体"/>
          <w:kern w:val="2"/>
          <w:sz w:val="24"/>
          <w:szCs w:val="24"/>
          <w:highlight w:val="none"/>
          <w:lang w:val="en-US" w:eastAsia="zh-CN" w:bidi="ar-SA"/>
        </w:rPr>
        <w:t>2.检测区域以甲方现场指定区域为准；</w:t>
      </w:r>
    </w:p>
    <w:p>
      <w:pPr>
        <w:pStyle w:val="28"/>
        <w:keepNext w:val="0"/>
        <w:keepLines w:val="0"/>
        <w:pageBreakBefore w:val="0"/>
        <w:widowControl w:val="0"/>
        <w:kinsoku/>
        <w:wordWrap/>
        <w:overflowPunct/>
        <w:topLinePunct w:val="0"/>
        <w:autoSpaceDE/>
        <w:autoSpaceDN/>
        <w:bidi w:val="0"/>
        <w:adjustRightInd/>
        <w:snapToGrid/>
        <w:spacing w:line="534" w:lineRule="exact"/>
        <w:ind w:firstLine="458" w:firstLineChars="191"/>
        <w:textAlignment w:val="auto"/>
        <w:rPr>
          <w:rFonts w:hint="eastAsia" w:ascii="宋体"/>
          <w:highlight w:val="none"/>
        </w:rPr>
      </w:pPr>
      <w:r>
        <w:rPr>
          <w:rFonts w:hint="eastAsia" w:ascii="宋体"/>
          <w:highlight w:val="none"/>
          <w:lang w:val="en-US" w:eastAsia="zh-CN"/>
        </w:rPr>
        <w:t>3.</w:t>
      </w:r>
      <w:r>
        <w:rPr>
          <w:rFonts w:hint="eastAsia" w:ascii="宋体"/>
          <w:highlight w:val="none"/>
        </w:rPr>
        <w:t>服务时间：</w:t>
      </w:r>
      <w:r>
        <w:rPr>
          <w:rFonts w:hint="eastAsia"/>
          <w:b w:val="0"/>
          <w:bCs/>
          <w:color w:val="auto"/>
          <w:sz w:val="24"/>
          <w:highlight w:val="none"/>
          <w:lang w:eastAsia="zh-CN"/>
        </w:rPr>
        <w:t>成交合同签订之日起30个工作日内验收合格</w:t>
      </w:r>
      <w:r>
        <w:rPr>
          <w:rFonts w:hint="eastAsia" w:ascii="宋体"/>
          <w:highlight w:val="none"/>
        </w:rPr>
        <w:t>。</w:t>
      </w:r>
    </w:p>
    <w:p>
      <w:pPr>
        <w:pStyle w:val="28"/>
        <w:keepNext w:val="0"/>
        <w:keepLines w:val="0"/>
        <w:pageBreakBefore w:val="0"/>
        <w:widowControl w:val="0"/>
        <w:kinsoku/>
        <w:wordWrap/>
        <w:overflowPunct/>
        <w:topLinePunct w:val="0"/>
        <w:autoSpaceDE/>
        <w:autoSpaceDN/>
        <w:bidi w:val="0"/>
        <w:adjustRightInd/>
        <w:snapToGrid/>
        <w:spacing w:line="534" w:lineRule="exact"/>
        <w:ind w:firstLine="486"/>
        <w:textAlignment w:val="auto"/>
        <w:rPr>
          <w:rFonts w:ascii="宋体"/>
          <w:highlight w:val="none"/>
        </w:rPr>
      </w:pPr>
      <w:r>
        <w:rPr>
          <w:rFonts w:hint="eastAsia" w:ascii="宋体"/>
          <w:highlight w:val="none"/>
          <w:lang w:val="en-US" w:eastAsia="zh-CN"/>
        </w:rPr>
        <w:t>4.</w:t>
      </w:r>
      <w:r>
        <w:rPr>
          <w:rFonts w:hint="eastAsia" w:ascii="宋体"/>
          <w:highlight w:val="none"/>
        </w:rPr>
        <w:t>验收标准：按国家有关规定以及甲方招标文件的质量要求和技术指标，乙方的投标文件及承诺与本合同约定标准进行验收；甲乙双方如对质量要求和技术指标的约定标准有相互抵触或异议的事项，由甲方在</w:t>
      </w:r>
      <w:r>
        <w:rPr>
          <w:rFonts w:hint="eastAsia" w:ascii="宋体"/>
          <w:highlight w:val="none"/>
          <w:lang w:val="en-US" w:eastAsia="zh-CN"/>
        </w:rPr>
        <w:t>询价公告</w:t>
      </w:r>
      <w:r>
        <w:rPr>
          <w:rFonts w:hint="eastAsia" w:ascii="宋体"/>
          <w:highlight w:val="none"/>
        </w:rPr>
        <w:t>与</w:t>
      </w:r>
      <w:r>
        <w:rPr>
          <w:rFonts w:hint="eastAsia" w:ascii="宋体"/>
          <w:highlight w:val="none"/>
          <w:lang w:val="en-US" w:eastAsia="zh-CN"/>
        </w:rPr>
        <w:t>询价回函</w:t>
      </w:r>
      <w:r>
        <w:rPr>
          <w:rFonts w:hint="eastAsia" w:ascii="宋体"/>
          <w:highlight w:val="none"/>
        </w:rPr>
        <w:t>文件中按质量要求和技术指标比较优胜的原则确定该项的约定标准进行验</w:t>
      </w:r>
    </w:p>
    <w:p>
      <w:pPr>
        <w:pStyle w:val="28"/>
        <w:keepNext w:val="0"/>
        <w:keepLines w:val="0"/>
        <w:pageBreakBefore w:val="0"/>
        <w:widowControl w:val="0"/>
        <w:tabs>
          <w:tab w:val="left" w:pos="0"/>
        </w:tabs>
        <w:kinsoku/>
        <w:wordWrap/>
        <w:overflowPunct/>
        <w:topLinePunct w:val="0"/>
        <w:autoSpaceDE/>
        <w:autoSpaceDN/>
        <w:bidi w:val="0"/>
        <w:adjustRightInd/>
        <w:snapToGrid/>
        <w:spacing w:line="534" w:lineRule="exact"/>
        <w:ind w:firstLine="477" w:firstLineChars="199"/>
        <w:textAlignment w:val="auto"/>
        <w:rPr>
          <w:rFonts w:ascii="宋体"/>
          <w:highlight w:val="none"/>
        </w:rPr>
      </w:pPr>
      <w:r>
        <w:rPr>
          <w:rFonts w:hint="eastAsia" w:ascii="宋体"/>
          <w:highlight w:val="none"/>
          <w:lang w:val="en-US" w:eastAsia="zh-CN"/>
        </w:rPr>
        <w:t>5.</w:t>
      </w:r>
      <w:r>
        <w:rPr>
          <w:rFonts w:hint="eastAsia" w:ascii="宋体"/>
          <w:highlight w:val="none"/>
        </w:rPr>
        <w:t>验收时如发现所交付的服务和成品有缺陷、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8"/>
        <w:spacing w:line="534" w:lineRule="exact"/>
        <w:ind w:firstLine="486"/>
        <w:outlineLvl w:val="1"/>
        <w:rPr>
          <w:rFonts w:hint="eastAsia" w:ascii="宋体" w:hAnsi="宋体"/>
          <w:b/>
          <w:color w:val="auto"/>
          <w:sz w:val="32"/>
          <w:highlight w:val="none"/>
        </w:rPr>
      </w:pPr>
      <w:r>
        <w:rPr>
          <w:rFonts w:hint="eastAsia" w:ascii="宋体"/>
          <w:highlight w:val="none"/>
          <w:lang w:val="en-US" w:eastAsia="zh-CN"/>
        </w:rPr>
        <w:t>6.</w:t>
      </w:r>
      <w:r>
        <w:rPr>
          <w:rFonts w:hint="eastAsia" w:ascii="宋体"/>
          <w:highlight w:val="none"/>
        </w:rPr>
        <w:t>如质量验收合格，双方签署质量验收报告。</w:t>
      </w:r>
    </w:p>
    <w:p>
      <w:pPr>
        <w:numPr>
          <w:ilvl w:val="-1"/>
          <w:numId w:val="0"/>
        </w:numPr>
        <w:spacing w:line="360" w:lineRule="auto"/>
        <w:ind w:firstLine="0" w:firstLineChars="0"/>
        <w:outlineLvl w:val="1"/>
        <w:rPr>
          <w:rFonts w:hint="eastAsia" w:ascii="宋体" w:hAnsi="宋体"/>
          <w:b/>
          <w:color w:val="auto"/>
          <w:sz w:val="32"/>
          <w:highlight w:val="none"/>
          <w:lang w:eastAsia="zh-CN"/>
        </w:rPr>
      </w:pPr>
    </w:p>
    <w:p>
      <w:pPr>
        <w:numPr>
          <w:ilvl w:val="-1"/>
          <w:numId w:val="0"/>
        </w:numPr>
        <w:spacing w:line="360" w:lineRule="auto"/>
        <w:ind w:firstLine="0" w:firstLineChars="0"/>
        <w:outlineLvl w:val="1"/>
        <w:rPr>
          <w:rFonts w:hint="eastAsia" w:ascii="宋体" w:hAnsi="宋体"/>
          <w:b/>
          <w:color w:val="auto"/>
          <w:sz w:val="32"/>
          <w:highlight w:val="none"/>
        </w:rPr>
      </w:pPr>
      <w:r>
        <w:rPr>
          <w:rFonts w:hint="eastAsia" w:ascii="宋体" w:hAnsi="宋体"/>
          <w:b/>
          <w:color w:val="auto"/>
          <w:sz w:val="32"/>
          <w:highlight w:val="none"/>
          <w:lang w:eastAsia="zh-CN"/>
        </w:rPr>
        <w:t>四、</w:t>
      </w:r>
      <w:r>
        <w:rPr>
          <w:rFonts w:hint="eastAsia" w:ascii="宋体" w:hAnsi="宋体"/>
          <w:b/>
          <w:color w:val="auto"/>
          <w:sz w:val="32"/>
          <w:highlight w:val="none"/>
        </w:rPr>
        <w:t>商务要求</w:t>
      </w:r>
    </w:p>
    <w:p>
      <w:pPr>
        <w:pStyle w:val="28"/>
        <w:keepNext w:val="0"/>
        <w:keepLines w:val="0"/>
        <w:pageBreakBefore w:val="0"/>
        <w:widowControl w:val="0"/>
        <w:kinsoku/>
        <w:wordWrap/>
        <w:overflowPunct/>
        <w:topLinePunct w:val="0"/>
        <w:autoSpaceDE/>
        <w:autoSpaceDN/>
        <w:bidi w:val="0"/>
        <w:adjustRightInd/>
        <w:snapToGrid/>
        <w:spacing w:after="0" w:line="534" w:lineRule="exact"/>
        <w:ind w:firstLine="480" w:firstLineChars="200"/>
        <w:textAlignment w:val="auto"/>
        <w:rPr>
          <w:rFonts w:hint="eastAsia" w:ascii="宋体" w:hAnsi="Times New Roman" w:eastAsia="宋体" w:cs="宋体"/>
          <w:bCs w:val="0"/>
          <w:color w:val="auto"/>
          <w:sz w:val="24"/>
          <w:highlight w:val="none"/>
          <w:lang w:val="en-US" w:eastAsia="zh-CN"/>
        </w:rPr>
      </w:pPr>
      <w:r>
        <w:rPr>
          <w:rFonts w:hint="eastAsia" w:ascii="宋体" w:hAnsi="宋体" w:cs="Times New Roman"/>
          <w:bCs/>
          <w:color w:val="auto"/>
          <w:sz w:val="24"/>
          <w:highlight w:val="none"/>
          <w:lang w:val="en-US" w:eastAsia="zh-CN"/>
        </w:rPr>
        <w:t>1.</w:t>
      </w:r>
      <w:r>
        <w:rPr>
          <w:rFonts w:hint="eastAsia" w:ascii="宋体" w:hAnsi="Times New Roman" w:eastAsia="宋体" w:cs="宋体"/>
          <w:bCs w:val="0"/>
          <w:color w:val="auto"/>
          <w:sz w:val="24"/>
          <w:highlight w:val="none"/>
          <w:lang w:val="en-US" w:eastAsia="zh-CN"/>
        </w:rPr>
        <w:t>计价形式：</w:t>
      </w:r>
      <w:r>
        <w:rPr>
          <w:rFonts w:hint="eastAsia" w:ascii="宋体" w:hAnsi="Times New Roman" w:eastAsia="宋体" w:cs="宋体"/>
          <w:bCs w:val="0"/>
          <w:color w:val="auto"/>
          <w:sz w:val="24"/>
          <w:szCs w:val="24"/>
          <w:highlight w:val="none"/>
        </w:rPr>
        <w:t>固定综合单价（含税、税率</w:t>
      </w:r>
      <w:r>
        <w:rPr>
          <w:rFonts w:hint="eastAsia" w:ascii="宋体" w:hAnsi="Times New Roman" w:eastAsia="宋体" w:cs="宋体"/>
          <w:bCs w:val="0"/>
          <w:color w:val="auto"/>
          <w:sz w:val="24"/>
          <w:szCs w:val="24"/>
          <w:highlight w:val="none"/>
          <w:lang w:val="en-US" w:eastAsia="zh-CN"/>
        </w:rPr>
        <w:t>9</w:t>
      </w:r>
      <w:r>
        <w:rPr>
          <w:rFonts w:hint="eastAsia" w:ascii="宋体" w:hAnsi="Times New Roman" w:eastAsia="宋体" w:cs="宋体"/>
          <w:bCs w:val="0"/>
          <w:color w:val="auto"/>
          <w:sz w:val="24"/>
          <w:szCs w:val="24"/>
          <w:highlight w:val="none"/>
        </w:rPr>
        <w:t>%），工程量按实结算。</w:t>
      </w:r>
    </w:p>
    <w:p>
      <w:pPr>
        <w:pStyle w:val="28"/>
        <w:keepNext w:val="0"/>
        <w:keepLines w:val="0"/>
        <w:pageBreakBefore w:val="0"/>
        <w:widowControl w:val="0"/>
        <w:kinsoku/>
        <w:wordWrap/>
        <w:overflowPunct/>
        <w:topLinePunct w:val="0"/>
        <w:autoSpaceDE/>
        <w:autoSpaceDN/>
        <w:bidi w:val="0"/>
        <w:adjustRightInd/>
        <w:snapToGrid/>
        <w:spacing w:after="0" w:line="534" w:lineRule="exact"/>
        <w:ind w:firstLine="480" w:firstLineChars="200"/>
        <w:textAlignment w:val="auto"/>
        <w:rPr>
          <w:rFonts w:hint="eastAsia" w:ascii="宋体" w:hAnsi="Times New Roman" w:eastAsia="宋体" w:cs="宋体"/>
          <w:bCs w:val="0"/>
          <w:color w:val="auto"/>
          <w:sz w:val="24"/>
          <w:highlight w:val="none"/>
          <w:lang w:val="en-US" w:eastAsia="zh-CN"/>
        </w:rPr>
      </w:pPr>
      <w:r>
        <w:rPr>
          <w:rFonts w:hint="eastAsia" w:ascii="宋体" w:cs="宋体"/>
          <w:b w:val="0"/>
          <w:bCs w:val="0"/>
          <w:color w:val="auto"/>
          <w:sz w:val="24"/>
          <w:szCs w:val="24"/>
          <w:highlight w:val="none"/>
          <w:lang w:val="en-US" w:eastAsia="zh-CN"/>
        </w:rPr>
        <w:t>2.</w:t>
      </w:r>
      <w:r>
        <w:rPr>
          <w:rFonts w:hint="eastAsia" w:ascii="宋体" w:hAnsi="Times New Roman" w:eastAsia="宋体" w:cs="宋体"/>
          <w:bCs w:val="0"/>
          <w:color w:val="auto"/>
          <w:sz w:val="24"/>
          <w:highlight w:val="none"/>
          <w:lang w:val="en-US" w:eastAsia="zh-CN"/>
        </w:rPr>
        <w:t>付款方式：</w:t>
      </w:r>
      <w:r>
        <w:rPr>
          <w:rFonts w:hint="eastAsia" w:ascii="宋体" w:hAnsi="Times New Roman" w:cs="宋体"/>
          <w:kern w:val="2"/>
          <w:sz w:val="24"/>
          <w:highlight w:val="none"/>
        </w:rPr>
        <w:t>工程竣工并验收合格，</w:t>
      </w:r>
      <w:r>
        <w:rPr>
          <w:rFonts w:hint="eastAsia" w:ascii="宋体" w:hAnsi="Times New Roman" w:cs="宋体"/>
          <w:kern w:val="2"/>
          <w:sz w:val="24"/>
          <w:highlight w:val="none"/>
          <w:lang w:val="en-US" w:eastAsia="zh-CN"/>
        </w:rPr>
        <w:t>供应商</w:t>
      </w:r>
      <w:r>
        <w:rPr>
          <w:rFonts w:hint="eastAsia" w:ascii="宋体" w:hAnsi="Times New Roman" w:cs="宋体"/>
          <w:kern w:val="2"/>
          <w:sz w:val="24"/>
          <w:highlight w:val="none"/>
        </w:rPr>
        <w:t>完善全部符合要求的竣工资料移交</w:t>
      </w:r>
      <w:r>
        <w:rPr>
          <w:rFonts w:hint="eastAsia" w:ascii="宋体" w:hAnsi="Times New Roman" w:cs="宋体"/>
          <w:kern w:val="2"/>
          <w:sz w:val="24"/>
          <w:highlight w:val="none"/>
          <w:lang w:val="en-US" w:eastAsia="zh-CN"/>
        </w:rPr>
        <w:t>采购人</w:t>
      </w:r>
      <w:r>
        <w:rPr>
          <w:rFonts w:hint="eastAsia" w:ascii="宋体" w:hAnsi="Times New Roman" w:cs="宋体"/>
          <w:kern w:val="2"/>
          <w:sz w:val="24"/>
          <w:highlight w:val="none"/>
        </w:rPr>
        <w:t>，待出具结算审核报告后，由双方根据该结算报告以及招标工程量清单确认双方的结算金额，经双方确认</w:t>
      </w:r>
      <w:r>
        <w:rPr>
          <w:rFonts w:hint="eastAsia" w:ascii="宋体" w:hAnsi="Times New Roman" w:cs="宋体"/>
          <w:kern w:val="2"/>
          <w:sz w:val="24"/>
          <w:highlight w:val="none"/>
          <w:lang w:val="en-US" w:eastAsia="zh-CN"/>
        </w:rPr>
        <w:t>之日起采购人在2个月</w:t>
      </w:r>
      <w:r>
        <w:rPr>
          <w:rFonts w:hint="eastAsia" w:ascii="宋体" w:hAnsi="Times New Roman" w:cs="宋体"/>
          <w:kern w:val="2"/>
          <w:sz w:val="24"/>
          <w:highlight w:val="none"/>
        </w:rPr>
        <w:t>内支付至工程结算金额的97%。剩余3%作为质保金，在质量缺陷责任期</w:t>
      </w:r>
      <w:r>
        <w:rPr>
          <w:rFonts w:hint="eastAsia" w:ascii="宋体" w:cs="宋体"/>
          <w:kern w:val="2"/>
          <w:sz w:val="24"/>
          <w:highlight w:val="none"/>
          <w:lang w:eastAsia="zh-CN"/>
        </w:rPr>
        <w:t>（</w:t>
      </w:r>
      <w:r>
        <w:rPr>
          <w:rFonts w:hint="eastAsia" w:ascii="宋体" w:cs="宋体"/>
          <w:kern w:val="2"/>
          <w:sz w:val="24"/>
          <w:highlight w:val="none"/>
          <w:lang w:val="en-US" w:eastAsia="zh-CN"/>
        </w:rPr>
        <w:t>2年</w:t>
      </w:r>
      <w:r>
        <w:rPr>
          <w:rFonts w:hint="eastAsia" w:ascii="宋体" w:cs="宋体"/>
          <w:kern w:val="2"/>
          <w:sz w:val="24"/>
          <w:highlight w:val="none"/>
          <w:lang w:eastAsia="zh-CN"/>
        </w:rPr>
        <w:t>）</w:t>
      </w:r>
      <w:r>
        <w:rPr>
          <w:rFonts w:hint="eastAsia" w:ascii="宋体" w:hAnsi="Times New Roman" w:cs="宋体"/>
          <w:kern w:val="2"/>
          <w:sz w:val="24"/>
          <w:highlight w:val="none"/>
        </w:rPr>
        <w:t>届满后无息退还。</w:t>
      </w:r>
      <w:r>
        <w:rPr>
          <w:rFonts w:hint="eastAsia" w:ascii="宋体" w:hAnsi="Times New Roman" w:eastAsia="宋体" w:cs="宋体"/>
          <w:bCs w:val="0"/>
          <w:color w:val="auto"/>
          <w:sz w:val="24"/>
          <w:highlight w:val="none"/>
          <w:lang w:val="en-US" w:eastAsia="zh-CN"/>
        </w:rPr>
        <w:t>每次付款前，供应商应向采购人出具等额的增值税专用发票，否则采购人有权延迟支付</w:t>
      </w:r>
      <w:r>
        <w:rPr>
          <w:rFonts w:hint="eastAsia" w:ascii="宋体" w:hAnsi="Times New Roman" w:cs="宋体"/>
          <w:bCs w:val="0"/>
          <w:color w:val="auto"/>
          <w:sz w:val="24"/>
          <w:highlight w:val="none"/>
          <w:lang w:val="en-US" w:eastAsia="zh-CN"/>
        </w:rPr>
        <w:t>并不承担逾期付款的违约责任</w:t>
      </w:r>
      <w:r>
        <w:rPr>
          <w:rFonts w:hint="eastAsia" w:ascii="宋体" w:hAnsi="Times New Roman" w:eastAsia="宋体" w:cs="宋体"/>
          <w:bCs w:val="0"/>
          <w:color w:val="auto"/>
          <w:sz w:val="24"/>
          <w:highlight w:val="none"/>
          <w:lang w:val="en-US" w:eastAsia="zh-CN"/>
        </w:rPr>
        <w:t>。</w:t>
      </w:r>
    </w:p>
    <w:p>
      <w:pPr>
        <w:spacing w:before="120" w:beforeLines="50" w:after="360" w:afterLines="150"/>
        <w:ind w:firstLine="2520" w:firstLineChars="700"/>
        <w:jc w:val="both"/>
        <w:outlineLvl w:val="0"/>
        <w:rPr>
          <w:rFonts w:hint="eastAsia" w:ascii="黑体" w:hAnsi="黑体" w:eastAsia="黑体"/>
          <w:color w:val="auto"/>
          <w:sz w:val="36"/>
          <w:highlight w:val="none"/>
        </w:rPr>
        <w:sectPr>
          <w:headerReference r:id="rId9" w:type="default"/>
          <w:footerReference r:id="rId10" w:type="default"/>
          <w:pgSz w:w="11906" w:h="16840"/>
          <w:pgMar w:top="1440" w:right="1800" w:bottom="1440" w:left="1800" w:header="851" w:footer="992" w:gutter="0"/>
          <w:cols w:space="720" w:num="1"/>
          <w:docGrid w:linePitch="312" w:charSpace="0"/>
        </w:sectPr>
      </w:pPr>
    </w:p>
    <w:p>
      <w:pPr>
        <w:spacing w:before="120" w:beforeLines="50" w:after="360" w:afterLines="150"/>
        <w:ind w:firstLine="2520" w:firstLineChars="700"/>
        <w:jc w:val="both"/>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42"/>
      <w:bookmarkEnd w:id="43"/>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3"/>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spacing w:line="360" w:lineRule="auto"/>
        <w:rPr>
          <w:rFonts w:hint="eastAsia"/>
          <w:color w:val="auto"/>
          <w:highlight w:val="none"/>
        </w:rPr>
      </w:pPr>
    </w:p>
    <w:p>
      <w:pPr>
        <w:spacing w:line="360" w:lineRule="auto"/>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17620"/>
      <w:bookmarkStart w:id="45" w:name="_Toc91771164"/>
      <w:r>
        <w:rPr>
          <w:rFonts w:hint="eastAsia" w:ascii="黑体" w:hAnsi="黑体" w:eastAsia="黑体" w:cs="Arial"/>
          <w:bCs/>
          <w:color w:val="auto"/>
          <w:sz w:val="32"/>
          <w:szCs w:val="32"/>
          <w:highlight w:val="none"/>
        </w:rPr>
        <w:t>一、报价函</w:t>
      </w:r>
      <w:bookmarkEnd w:id="44"/>
      <w:bookmarkEnd w:id="45"/>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rFonts w:hint="eastAsia"/>
          <w:color w:val="auto"/>
          <w:sz w:val="24"/>
          <w:highlight w:val="none"/>
          <w:lang w:val="en-US" w:eastAsia="zh-CN"/>
        </w:rPr>
        <w:t xml:space="preserve">       元（含税，税率9 %）</w:t>
      </w:r>
      <w:r>
        <w:rPr>
          <w:color w:val="auto"/>
          <w:sz w:val="24"/>
          <w:highlight w:val="none"/>
        </w:rPr>
        <w:t>，报价有效期为询价文件规定的起算之日起90天。</w:t>
      </w:r>
    </w:p>
    <w:p>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eastAsia="zh-CN"/>
        </w:rPr>
        <w:t>成交合同签订之日起30个工作日内验收合格</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7264"/>
      <w:bookmarkStart w:id="47" w:name="_Toc91771165"/>
      <w:r>
        <w:rPr>
          <w:rFonts w:hint="eastAsia" w:ascii="黑体" w:hAnsi="黑体" w:eastAsia="黑体" w:cs="Arial"/>
          <w:bCs/>
          <w:color w:val="auto"/>
          <w:sz w:val="32"/>
          <w:szCs w:val="32"/>
          <w:highlight w:val="none"/>
        </w:rPr>
        <w:t>二、资格证明材料</w:t>
      </w:r>
      <w:bookmarkEnd w:id="46"/>
      <w:bookmarkEnd w:id="47"/>
    </w:p>
    <w:p>
      <w:pPr>
        <w:adjustRightInd w:val="0"/>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rPr>
        <w:t>供应商</w:t>
      </w:r>
      <w:r>
        <w:rPr>
          <w:rFonts w:hint="eastAsia" w:ascii="宋体" w:hAnsi="宋体"/>
          <w:b/>
          <w:bCs/>
          <w:color w:val="auto"/>
          <w:sz w:val="24"/>
          <w:highlight w:val="none"/>
          <w:lang w:val="en-US" w:eastAsia="zh-CN"/>
        </w:rPr>
        <w:t>须</w:t>
      </w:r>
      <w:r>
        <w:rPr>
          <w:rFonts w:hint="eastAsia" w:ascii="宋体" w:hAnsi="宋体"/>
          <w:b/>
          <w:bCs/>
          <w:color w:val="auto"/>
          <w:sz w:val="24"/>
          <w:highlight w:val="none"/>
        </w:rPr>
        <w:t>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lang w:eastAsia="zh-CN"/>
        </w:rPr>
        <w:t>2.</w:t>
      </w:r>
      <w:r>
        <w:rPr>
          <w:rFonts w:hint="eastAsia" w:ascii="宋体" w:hAnsi="宋体"/>
          <w:b/>
          <w:bCs/>
          <w:color w:val="auto"/>
          <w:sz w:val="24"/>
          <w:highlight w:val="none"/>
        </w:rPr>
        <w:t>询价保证金缴纳凭证</w:t>
      </w:r>
      <w:r>
        <w:rPr>
          <w:rFonts w:hint="eastAsia" w:ascii="宋体" w:hAnsi="宋体"/>
          <w:b/>
          <w:bCs/>
          <w:color w:val="auto"/>
          <w:sz w:val="24"/>
          <w:highlight w:val="none"/>
          <w:lang w:eastAsia="zh-CN"/>
        </w:rPr>
        <w:t>（</w:t>
      </w:r>
      <w:r>
        <w:rPr>
          <w:rFonts w:hint="eastAsia" w:ascii="宋体" w:hAnsi="宋体" w:cs="Times New Roman"/>
          <w:b/>
          <w:bCs/>
          <w:color w:val="auto"/>
          <w:sz w:val="24"/>
          <w:highlight w:val="none"/>
          <w:lang w:bidi="ar"/>
        </w:rPr>
        <w:t>银行转账</w:t>
      </w:r>
      <w:r>
        <w:rPr>
          <w:rFonts w:hint="eastAsia" w:ascii="宋体" w:hAnsi="宋体" w:cs="Times New Roman"/>
          <w:b/>
          <w:bCs/>
          <w:color w:val="auto"/>
          <w:sz w:val="24"/>
          <w:highlight w:val="none"/>
          <w:lang w:val="en-US" w:eastAsia="zh-CN" w:bidi="ar"/>
        </w:rPr>
        <w:t>凭证</w:t>
      </w:r>
      <w:r>
        <w:rPr>
          <w:rFonts w:hint="eastAsia" w:ascii="宋体" w:hAnsi="宋体" w:cs="Times New Roman"/>
          <w:b/>
          <w:bCs/>
          <w:color w:val="auto"/>
          <w:sz w:val="24"/>
          <w:highlight w:val="none"/>
          <w:lang w:bidi="ar"/>
        </w:rPr>
        <w:t>或银行保函</w:t>
      </w:r>
      <w:r>
        <w:rPr>
          <w:rFonts w:hint="eastAsia" w:ascii="宋体" w:hAnsi="宋体" w:cs="Times New Roman"/>
          <w:b/>
          <w:bCs/>
          <w:color w:val="auto"/>
          <w:sz w:val="24"/>
          <w:highlight w:val="none"/>
          <w:lang w:val="en-US" w:eastAsia="zh-CN" w:bidi="ar"/>
        </w:rPr>
        <w:t>及</w:t>
      </w:r>
      <w:r>
        <w:rPr>
          <w:rFonts w:hint="eastAsia" w:ascii="宋体" w:hAnsi="宋体" w:cs="Times New Roman"/>
          <w:b/>
          <w:bCs/>
          <w:color w:val="auto"/>
          <w:sz w:val="24"/>
          <w:highlight w:val="none"/>
          <w:lang w:bidi="ar"/>
        </w:rPr>
        <w:t>保函保费</w:t>
      </w:r>
      <w:r>
        <w:rPr>
          <w:rFonts w:hint="eastAsia" w:ascii="宋体" w:hAnsi="宋体" w:cs="Times New Roman"/>
          <w:b/>
          <w:bCs/>
          <w:color w:val="auto"/>
          <w:sz w:val="24"/>
          <w:highlight w:val="none"/>
          <w:lang w:val="en-US" w:eastAsia="zh-CN" w:bidi="ar"/>
        </w:rPr>
        <w:t>缴纳凭证</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复印件</w:t>
      </w:r>
      <w:r>
        <w:rPr>
          <w:rFonts w:hint="eastAsia" w:ascii="宋体" w:hAnsi="宋体"/>
          <w:b/>
          <w:bCs/>
          <w:color w:val="auto"/>
          <w:sz w:val="24"/>
          <w:highlight w:val="none"/>
        </w:rPr>
        <w:t>（加盖公章）。</w:t>
      </w:r>
    </w:p>
    <w:p>
      <w:pPr>
        <w:numPr>
          <w:ilvl w:val="0"/>
          <w:numId w:val="2"/>
        </w:numPr>
        <w:adjustRightInd w:val="0"/>
        <w:spacing w:line="360" w:lineRule="auto"/>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供应商须提供</w:t>
      </w:r>
      <w:r>
        <w:rPr>
          <w:rFonts w:hint="eastAsia" w:ascii="宋体" w:hAnsi="宋体" w:eastAsia="宋体" w:cs="Times New Roman"/>
          <w:b/>
          <w:bCs/>
          <w:color w:val="auto"/>
          <w:kern w:val="2"/>
          <w:sz w:val="24"/>
          <w:szCs w:val="24"/>
          <w:highlight w:val="none"/>
          <w:lang w:val="en-US" w:eastAsia="zh-CN" w:bidi="ar-SA"/>
        </w:rPr>
        <w:t>2023年1月1日至</w:t>
      </w:r>
      <w:r>
        <w:rPr>
          <w:rFonts w:hint="eastAsia" w:ascii="宋体" w:hAnsi="宋体" w:eastAsia="宋体" w:cs="Times New Roman"/>
          <w:b/>
          <w:bCs/>
          <w:color w:val="auto"/>
          <w:sz w:val="24"/>
          <w:highlight w:val="none"/>
        </w:rPr>
        <w:t>询价截止时间</w:t>
      </w:r>
      <w:r>
        <w:rPr>
          <w:rFonts w:hint="eastAsia" w:ascii="宋体" w:hAnsi="宋体" w:eastAsia="宋体" w:cs="Times New Roman"/>
          <w:b/>
          <w:bCs/>
          <w:color w:val="auto"/>
          <w:kern w:val="2"/>
          <w:sz w:val="24"/>
          <w:szCs w:val="24"/>
          <w:highlight w:val="none"/>
          <w:lang w:val="en-US" w:eastAsia="zh-CN" w:bidi="ar-SA"/>
        </w:rPr>
        <w:t>已完成至少一个管道探漏或管道修复项目施工</w:t>
      </w:r>
      <w:r>
        <w:rPr>
          <w:rFonts w:hint="eastAsia" w:ascii="宋体" w:hAnsi="宋体" w:eastAsia="宋体" w:cs="Times New Roman"/>
          <w:b/>
          <w:bCs/>
          <w:color w:val="auto"/>
          <w:sz w:val="24"/>
          <w:highlight w:val="none"/>
          <w:lang w:val="en-US" w:eastAsia="zh-CN"/>
        </w:rPr>
        <w:t>业绩证明资料。</w:t>
      </w:r>
    </w:p>
    <w:p>
      <w:pPr>
        <w:numPr>
          <w:ilvl w:val="-1"/>
          <w:numId w:val="0"/>
        </w:numPr>
        <w:adjustRightInd w:val="0"/>
        <w:spacing w:line="360" w:lineRule="auto"/>
        <w:ind w:firstLine="482"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b/>
          <w:bCs/>
          <w:color w:val="auto"/>
          <w:kern w:val="2"/>
          <w:sz w:val="24"/>
          <w:szCs w:val="24"/>
          <w:highlight w:val="none"/>
          <w:lang w:val="en-US" w:eastAsia="zh-CN" w:bidi="ar-SA"/>
        </w:rPr>
        <w:t>业绩要求：证明资料为中标通知书或合同协议书、竣工验收证明材料（总承包工程是指竣工验收报告，专业承包工程是指专业工程竣工报告或专业工程验收表或发包人&lt;总承包人&gt;出具的证明文件等材料）。类似项目业绩时间以竣工验收证明材料上的竣工时间为准。</w:t>
      </w:r>
    </w:p>
    <w:p>
      <w:pPr>
        <w:pStyle w:val="3"/>
        <w:rPr>
          <w:rFonts w:hint="eastAsia"/>
          <w:color w:val="auto"/>
          <w:highlight w:val="none"/>
        </w:rPr>
      </w:pPr>
    </w:p>
    <w:p>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91771166"/>
      <w:bookmarkStart w:id="49"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highlight w:val="none"/>
        </w:rPr>
      </w:pPr>
    </w:p>
    <w:p>
      <w:pPr>
        <w:pStyle w:val="4"/>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tbl>
      <w:tblPr>
        <w:tblStyle w:val="17"/>
        <w:tblpPr w:leftFromText="180" w:rightFromText="180" w:vertAnchor="text" w:horzAnchor="page" w:tblpX="1627" w:tblpY="1005"/>
        <w:tblOverlap w:val="never"/>
        <w:tblW w:w="5444" w:type="pct"/>
        <w:tblInd w:w="0" w:type="dxa"/>
        <w:tblLayout w:type="fixed"/>
        <w:tblCellMar>
          <w:top w:w="0" w:type="dxa"/>
          <w:left w:w="108" w:type="dxa"/>
          <w:bottom w:w="0" w:type="dxa"/>
          <w:right w:w="108" w:type="dxa"/>
        </w:tblCellMar>
      </w:tblPr>
      <w:tblGrid>
        <w:gridCol w:w="670"/>
        <w:gridCol w:w="1200"/>
        <w:gridCol w:w="1845"/>
        <w:gridCol w:w="716"/>
        <w:gridCol w:w="1025"/>
        <w:gridCol w:w="937"/>
        <w:gridCol w:w="967"/>
        <w:gridCol w:w="1920"/>
      </w:tblGrid>
      <w:tr>
        <w:tblPrEx>
          <w:tblCellMar>
            <w:top w:w="0" w:type="dxa"/>
            <w:left w:w="108" w:type="dxa"/>
            <w:bottom w:w="0" w:type="dxa"/>
            <w:right w:w="108" w:type="dxa"/>
          </w:tblCellMar>
        </w:tblPrEx>
        <w:trPr>
          <w:trHeight w:val="1442"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b/>
                <w:color w:val="auto"/>
                <w:sz w:val="32"/>
                <w:szCs w:val="32"/>
                <w:highlight w:val="none"/>
              </w:rPr>
              <w:br w:type="page"/>
            </w:r>
            <w:bookmarkStart w:id="50" w:name="_Toc91771167"/>
            <w:bookmarkStart w:id="51"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r>
              <w:rPr>
                <w:rFonts w:hint="eastAsia"/>
                <w:color w:val="auto"/>
                <w:sz w:val="24"/>
                <w:szCs w:val="24"/>
                <w:highlight w:val="none"/>
                <w:lang w:val="en-US"/>
              </w:rPr>
              <w:t>序号</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eastAsia="zh-CN"/>
              </w:rPr>
              <w:t>项目</w:t>
            </w:r>
            <w:r>
              <w:rPr>
                <w:rFonts w:hint="eastAsia"/>
                <w:color w:val="auto"/>
                <w:sz w:val="24"/>
                <w:szCs w:val="24"/>
                <w:highlight w:val="none"/>
                <w:lang w:val="en-US"/>
              </w:rPr>
              <w:t>名称</w:t>
            </w:r>
          </w:p>
        </w:tc>
        <w:tc>
          <w:tcPr>
            <w:tcW w:w="9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项目特征</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单位</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暂定</w:t>
            </w:r>
          </w:p>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工程量</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含税投标单价（元）</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1"/>
                <w:szCs w:val="21"/>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含税投标总价（元）</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720" w:firstLineChars="300"/>
              <w:jc w:val="both"/>
              <w:textAlignment w:val="center"/>
              <w:rPr>
                <w:rFonts w:hint="eastAsia" w:eastAsia="宋体"/>
                <w:color w:val="auto"/>
                <w:sz w:val="21"/>
                <w:szCs w:val="21"/>
                <w:highlight w:val="none"/>
                <w:lang w:val="en-US" w:eastAsia="zh-CN"/>
              </w:rPr>
            </w:pPr>
            <w:r>
              <w:rPr>
                <w:rFonts w:hint="eastAsia" w:eastAsia="宋体"/>
                <w:color w:val="auto"/>
                <w:sz w:val="24"/>
                <w:szCs w:val="24"/>
                <w:highlight w:val="none"/>
                <w:lang w:val="en-US" w:eastAsia="zh-CN"/>
              </w:rPr>
              <w:t>备</w:t>
            </w:r>
            <w:r>
              <w:rPr>
                <w:rFonts w:hint="eastAsia"/>
                <w:color w:val="auto"/>
                <w:sz w:val="24"/>
                <w:szCs w:val="24"/>
                <w:highlight w:val="none"/>
                <w:lang w:val="en-US" w:eastAsia="zh-CN"/>
              </w:rPr>
              <w:t xml:space="preserve">  </w:t>
            </w:r>
            <w:r>
              <w:rPr>
                <w:rFonts w:hint="eastAsia" w:eastAsia="宋体"/>
                <w:color w:val="auto"/>
                <w:sz w:val="24"/>
                <w:szCs w:val="24"/>
                <w:highlight w:val="none"/>
                <w:lang w:val="en-US" w:eastAsia="zh-CN"/>
              </w:rPr>
              <w:t>注</w:t>
            </w:r>
          </w:p>
        </w:tc>
      </w:tr>
      <w:tr>
        <w:tblPrEx>
          <w:tblCellMar>
            <w:top w:w="0" w:type="dxa"/>
            <w:left w:w="108" w:type="dxa"/>
            <w:bottom w:w="0" w:type="dxa"/>
            <w:right w:w="108" w:type="dxa"/>
          </w:tblCellMar>
        </w:tblPrEx>
        <w:trPr>
          <w:trHeight w:val="1849"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ind w:left="0" w:firstLine="0" w:firstLineChars="0"/>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检测出第一个漏点位置</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firstLine="0" w:firstLineChars="0"/>
              <w:jc w:val="center"/>
              <w:textAlignment w:val="center"/>
              <w:rPr>
                <w:rFonts w:hint="eastAsia" w:eastAsia="宋体"/>
                <w:color w:val="auto"/>
                <w:sz w:val="21"/>
                <w:szCs w:val="21"/>
                <w:highlight w:val="none"/>
                <w:lang w:eastAsia="zh-CN"/>
              </w:rPr>
            </w:pPr>
            <w:r>
              <w:rPr>
                <w:rFonts w:hint="eastAsia"/>
                <w:color w:val="auto"/>
                <w:sz w:val="21"/>
                <w:szCs w:val="21"/>
                <w:highlight w:val="none"/>
                <w:lang w:val="en-US" w:eastAsia="zh-CN"/>
              </w:rPr>
              <w:t>对漏水点位置精准定位，以开挖后管道漏水点喷射状态为准。</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color w:val="auto"/>
                <w:sz w:val="21"/>
                <w:szCs w:val="21"/>
                <w:highlight w:val="none"/>
                <w:lang w:val="en-US" w:eastAsia="zh-CN"/>
              </w:rPr>
            </w:pPr>
            <w:r>
              <w:rPr>
                <w:rFonts w:hint="eastAsia"/>
                <w:color w:val="auto"/>
                <w:sz w:val="21"/>
                <w:szCs w:val="21"/>
                <w:highlight w:val="none"/>
                <w:lang w:val="en-US" w:eastAsia="zh-CN"/>
              </w:rPr>
              <w:t>漏点</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仅适用于管道开挖后发现漏点的情况；若开挖后检测确认管道无漏水，施工方须对开挖部位按原样修复，产生的所有费用由施工方自行负责。</w:t>
            </w:r>
          </w:p>
        </w:tc>
      </w:tr>
      <w:tr>
        <w:tblPrEx>
          <w:tblCellMar>
            <w:top w:w="0" w:type="dxa"/>
            <w:left w:w="108" w:type="dxa"/>
            <w:bottom w:w="0" w:type="dxa"/>
            <w:right w:w="108" w:type="dxa"/>
          </w:tblCellMar>
        </w:tblPrEx>
        <w:trPr>
          <w:trHeight w:val="189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检测出第二个及以上漏点位置</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eastAsia="宋体"/>
                <w:color w:val="auto"/>
                <w:sz w:val="21"/>
                <w:szCs w:val="21"/>
                <w:highlight w:val="none"/>
                <w:lang w:eastAsia="zh-CN"/>
              </w:rPr>
            </w:pPr>
            <w:r>
              <w:rPr>
                <w:rFonts w:hint="eastAsia"/>
                <w:color w:val="auto"/>
                <w:sz w:val="21"/>
                <w:szCs w:val="21"/>
                <w:highlight w:val="none"/>
                <w:lang w:val="en-US" w:eastAsia="zh-CN"/>
              </w:rPr>
              <w:t>对漏水点位置精准定位，以开挖后管道漏水点喷射状态为准。</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pStyle w:val="3"/>
              <w:rPr>
                <w:rFonts w:hint="default"/>
                <w:color w:val="auto"/>
                <w:sz w:val="21"/>
                <w:szCs w:val="21"/>
                <w:highlight w:val="none"/>
                <w:lang w:val="en-US" w:eastAsia="zh-CN"/>
              </w:rPr>
            </w:pPr>
            <w:r>
              <w:rPr>
                <w:rFonts w:hint="eastAsia"/>
                <w:color w:val="auto"/>
                <w:sz w:val="21"/>
                <w:szCs w:val="21"/>
                <w:highlight w:val="none"/>
                <w:lang w:val="en-US" w:eastAsia="zh-CN"/>
              </w:rPr>
              <w:t xml:space="preserve"> 漏点</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pStyle w:val="3"/>
              <w:ind w:firstLine="210" w:firstLineChars="100"/>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pStyle w:val="3"/>
              <w:ind w:firstLine="210" w:firstLineChars="100"/>
              <w:rPr>
                <w:rFonts w:hint="default"/>
                <w:color w:val="auto"/>
                <w:sz w:val="21"/>
                <w:szCs w:val="21"/>
                <w:highlight w:val="none"/>
                <w:lang w:val="en-US" w:eastAsia="zh-CN"/>
              </w:rPr>
            </w:pP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仅适用于管道开挖后发现漏点的情况；若开挖后检测确认管道无漏水，施工方须对开挖部位按原样修复，产生的所有费用由施工方自行负责。</w:t>
            </w:r>
          </w:p>
        </w:tc>
      </w:tr>
      <w:tr>
        <w:tblPrEx>
          <w:tblCellMar>
            <w:top w:w="0" w:type="dxa"/>
            <w:left w:w="108" w:type="dxa"/>
            <w:bottom w:w="0" w:type="dxa"/>
            <w:right w:w="108" w:type="dxa"/>
          </w:tblCellMar>
        </w:tblPrEx>
        <w:trPr>
          <w:trHeight w:val="112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管道开挖一</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color w:val="auto"/>
                <w:sz w:val="21"/>
                <w:szCs w:val="21"/>
                <w:highlight w:val="none"/>
                <w:lang w:val="en-US" w:eastAsia="zh-CN"/>
              </w:rPr>
            </w:pPr>
            <w:r>
              <w:rPr>
                <w:rFonts w:hint="eastAsia"/>
                <w:color w:val="auto"/>
                <w:sz w:val="21"/>
                <w:szCs w:val="21"/>
                <w:highlight w:val="none"/>
                <w:lang w:val="en-US" w:eastAsia="zh-CN"/>
              </w:rPr>
              <w:t>漏水点位开挖，含所有地面（除绿化带，深度不限、宽度不限），包括人工、机械、措施、运输等。</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处</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仅适用于检测出有漏点位置的管道开挖。</w:t>
            </w:r>
          </w:p>
        </w:tc>
      </w:tr>
      <w:tr>
        <w:tblPrEx>
          <w:tblCellMar>
            <w:top w:w="0" w:type="dxa"/>
            <w:left w:w="108" w:type="dxa"/>
            <w:bottom w:w="0" w:type="dxa"/>
            <w:right w:w="108" w:type="dxa"/>
          </w:tblCellMar>
        </w:tblPrEx>
        <w:trPr>
          <w:trHeight w:val="25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管道开挖二</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color w:val="auto"/>
                <w:sz w:val="21"/>
                <w:szCs w:val="21"/>
                <w:highlight w:val="none"/>
                <w:lang w:val="en-US" w:eastAsia="zh-CN"/>
              </w:rPr>
            </w:pPr>
            <w:r>
              <w:rPr>
                <w:rFonts w:hint="eastAsia"/>
                <w:color w:val="auto"/>
                <w:sz w:val="21"/>
                <w:szCs w:val="21"/>
                <w:highlight w:val="none"/>
                <w:lang w:val="en-US" w:eastAsia="zh-CN"/>
              </w:rPr>
              <w:t>漏水点位开挖，含所有绿化带（深度不限、宽度不限）。开挖方式根据发包人意见执行，包括人工、机械、措施、运输等。</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处</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仅适用于检测出有漏点位置的管道开挖。</w:t>
            </w:r>
          </w:p>
        </w:tc>
      </w:tr>
      <w:tr>
        <w:tblPrEx>
          <w:tblCellMar>
            <w:top w:w="0" w:type="dxa"/>
            <w:left w:w="108" w:type="dxa"/>
            <w:bottom w:w="0" w:type="dxa"/>
            <w:right w:w="108" w:type="dxa"/>
          </w:tblCellMar>
        </w:tblPrEx>
        <w:trPr>
          <w:trHeight w:val="1581"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5</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ind w:left="210" w:hanging="210" w:hangingChars="100"/>
              <w:jc w:val="both"/>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管道漏点修复一</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eastAsia="zh-CN"/>
              </w:rPr>
              <w:t>管径</w:t>
            </w:r>
            <w:r>
              <w:rPr>
                <w:rFonts w:hint="eastAsia"/>
                <w:color w:val="auto"/>
                <w:sz w:val="21"/>
                <w:szCs w:val="21"/>
                <w:highlight w:val="none"/>
                <w:lang w:val="en-US" w:eastAsia="zh-CN"/>
              </w:rPr>
              <w:t>DN315及以上，含DN315型号，修复方式电熔焊接，含材料、机械、人工等。</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处</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7</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s="宋体"/>
                <w:color w:val="000000" w:themeColor="text1"/>
                <w:sz w:val="21"/>
                <w:szCs w:val="21"/>
                <w:highlight w:val="none"/>
                <w:lang w:val="en-US" w:eastAsia="zh-CN"/>
                <w14:textFill>
                  <w14:solidFill>
                    <w14:schemeClr w14:val="tx1"/>
                  </w14:solidFill>
                </w14:textFill>
              </w:rPr>
            </w:pP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1149" w:hRule="atLeast"/>
        </w:trPr>
        <w:tc>
          <w:tcPr>
            <w:tcW w:w="360"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6</w:t>
            </w:r>
          </w:p>
        </w:tc>
        <w:tc>
          <w:tcPr>
            <w:tcW w:w="646" w:type="pct"/>
            <w:tcBorders>
              <w:top w:val="single" w:color="000000" w:sz="4" w:space="0"/>
              <w:left w:val="single" w:color="000000" w:sz="4" w:space="0"/>
              <w:bottom w:val="single" w:color="auto" w:sz="4" w:space="0"/>
              <w:right w:val="single" w:color="000000" w:sz="4" w:space="0"/>
            </w:tcBorders>
            <w:noWrap/>
            <w:vAlign w:val="center"/>
          </w:tcPr>
          <w:p>
            <w:pPr>
              <w:widowControl/>
              <w:ind w:left="210" w:hanging="210" w:hangingChars="100"/>
              <w:jc w:val="both"/>
              <w:textAlignment w:val="center"/>
              <w:rPr>
                <w:rFonts w:hint="eastAsia" w:eastAsia="宋体"/>
                <w:color w:val="auto"/>
                <w:sz w:val="21"/>
                <w:szCs w:val="21"/>
                <w:highlight w:val="none"/>
                <w:lang w:eastAsia="zh-CN"/>
              </w:rPr>
            </w:pPr>
            <w:r>
              <w:rPr>
                <w:rFonts w:hint="eastAsia"/>
                <w:color w:val="auto"/>
                <w:sz w:val="21"/>
                <w:szCs w:val="21"/>
                <w:highlight w:val="none"/>
                <w:lang w:eastAsia="zh-CN"/>
              </w:rPr>
              <w:t>管道漏点修复二</w:t>
            </w:r>
          </w:p>
        </w:tc>
        <w:tc>
          <w:tcPr>
            <w:tcW w:w="994"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1"/>
                <w:szCs w:val="21"/>
                <w:highlight w:val="none"/>
                <w:lang w:eastAsia="zh-CN"/>
              </w:rPr>
            </w:pPr>
            <w:r>
              <w:rPr>
                <w:rFonts w:hint="eastAsia" w:ascii="宋体" w:hAnsi="宋体" w:cs="宋体"/>
                <w:color w:val="000000" w:themeColor="text1"/>
                <w:sz w:val="21"/>
                <w:szCs w:val="21"/>
                <w:highlight w:val="none"/>
                <w:lang w:eastAsia="zh-CN"/>
                <w14:textFill>
                  <w14:solidFill>
                    <w14:schemeClr w14:val="tx1"/>
                  </w14:solidFill>
                </w14:textFill>
              </w:rPr>
              <w:t>管径</w:t>
            </w:r>
            <w:r>
              <w:rPr>
                <w:rFonts w:hint="eastAsia" w:ascii="宋体" w:hAnsi="宋体" w:cs="宋体"/>
                <w:color w:val="000000" w:themeColor="text1"/>
                <w:sz w:val="21"/>
                <w:szCs w:val="21"/>
                <w:highlight w:val="none"/>
                <w:lang w:val="en-US" w:eastAsia="zh-CN"/>
                <w14:textFill>
                  <w14:solidFill>
                    <w14:schemeClr w14:val="tx1"/>
                  </w14:solidFill>
                </w14:textFill>
              </w:rPr>
              <w:t>DN200型号，修复方式电熔焊接，含材料、机械、人工等。</w:t>
            </w:r>
          </w:p>
        </w:tc>
        <w:tc>
          <w:tcPr>
            <w:tcW w:w="385"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处</w:t>
            </w:r>
          </w:p>
        </w:tc>
        <w:tc>
          <w:tcPr>
            <w:tcW w:w="552"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c>
          <w:tcPr>
            <w:tcW w:w="504"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cs="宋体"/>
                <w:color w:val="000000" w:themeColor="text1"/>
                <w:sz w:val="21"/>
                <w:szCs w:val="21"/>
                <w:highlight w:val="none"/>
                <w:lang w:val="en-US" w:eastAsia="zh-CN"/>
                <w14:textFill>
                  <w14:solidFill>
                    <w14:schemeClr w14:val="tx1"/>
                  </w14:solidFill>
                </w14:textFill>
              </w:rPr>
            </w:pPr>
          </w:p>
        </w:tc>
        <w:tc>
          <w:tcPr>
            <w:tcW w:w="521"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1506"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7</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eastAsia="zh-CN"/>
              </w:rPr>
              <w:t>管道漏点修复三</w:t>
            </w:r>
          </w:p>
        </w:tc>
        <w:tc>
          <w:tcPr>
            <w:tcW w:w="99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eastAsia="zh-CN"/>
              </w:rPr>
              <w:t>管径</w:t>
            </w:r>
            <w:r>
              <w:rPr>
                <w:rFonts w:hint="eastAsia"/>
                <w:color w:val="auto"/>
                <w:sz w:val="21"/>
                <w:szCs w:val="21"/>
                <w:highlight w:val="none"/>
                <w:lang w:val="en-US" w:eastAsia="zh-CN"/>
              </w:rPr>
              <w:t>DN110以下（含110），修复方式电熔焊接或热熔焊接，含材料、机械、人工等。</w:t>
            </w:r>
          </w:p>
        </w:tc>
        <w:tc>
          <w:tcPr>
            <w:tcW w:w="3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处</w:t>
            </w:r>
          </w:p>
        </w:tc>
        <w:tc>
          <w:tcPr>
            <w:tcW w:w="55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50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s="宋体"/>
                <w:color w:val="000000" w:themeColor="text1"/>
                <w:sz w:val="21"/>
                <w:szCs w:val="21"/>
                <w:highlight w:val="none"/>
                <w:lang w:val="en-US" w:eastAsia="zh-CN"/>
                <w14:textFill>
                  <w14:solidFill>
                    <w14:schemeClr w14:val="tx1"/>
                  </w14:solidFill>
                </w14:textFill>
              </w:rPr>
            </w:pPr>
          </w:p>
        </w:tc>
        <w:tc>
          <w:tcPr>
            <w:tcW w:w="52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2006" w:hRule="atLeast"/>
        </w:trPr>
        <w:tc>
          <w:tcPr>
            <w:tcW w:w="36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w:t>
            </w:r>
          </w:p>
        </w:tc>
        <w:tc>
          <w:tcPr>
            <w:tcW w:w="646"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eastAsia="zh-CN"/>
              </w:rPr>
              <w:t>地面恢复</w:t>
            </w:r>
          </w:p>
        </w:tc>
        <w:tc>
          <w:tcPr>
            <w:tcW w:w="994"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val="en-US" w:eastAsia="zh-CN"/>
              </w:rPr>
              <w:t>按原开挖时结构层及面层材料原样恢复，包括人材机、建渣外运和弃置、路面冲洗。（不按分项工程量计算，按处计算）。</w:t>
            </w:r>
          </w:p>
        </w:tc>
        <w:tc>
          <w:tcPr>
            <w:tcW w:w="385"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处</w:t>
            </w:r>
          </w:p>
        </w:tc>
        <w:tc>
          <w:tcPr>
            <w:tcW w:w="552"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504"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p>
        </w:tc>
        <w:tc>
          <w:tcPr>
            <w:tcW w:w="521"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2403"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eastAsia="zh-CN"/>
              </w:rPr>
              <w:t>绿化带内</w:t>
            </w:r>
          </w:p>
        </w:tc>
        <w:tc>
          <w:tcPr>
            <w:tcW w:w="99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val="en-US" w:eastAsia="zh-CN"/>
              </w:rPr>
              <w:t>坑道回填、平场、绿植原样恢复，包括：补栽苗木为成活苗，栽种好后浇一次浸透水、人工、机械等，不按分项工程量计算，按处计算）。</w:t>
            </w:r>
          </w:p>
        </w:tc>
        <w:tc>
          <w:tcPr>
            <w:tcW w:w="3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处</w:t>
            </w:r>
          </w:p>
        </w:tc>
        <w:tc>
          <w:tcPr>
            <w:tcW w:w="55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50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highlight w:val="none"/>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481" w:hRule="atLeast"/>
        </w:trPr>
        <w:tc>
          <w:tcPr>
            <w:tcW w:w="36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合计：</w:t>
            </w:r>
          </w:p>
        </w:tc>
        <w:tc>
          <w:tcPr>
            <w:tcW w:w="3604" w:type="pct"/>
            <w:gridSpan w:val="6"/>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eastAsia="宋体"/>
                <w:color w:val="auto"/>
                <w:sz w:val="21"/>
                <w:szCs w:val="21"/>
                <w:highlight w:val="none"/>
                <w:lang w:val="en-US" w:eastAsia="zh-CN"/>
              </w:rPr>
            </w:pPr>
          </w:p>
        </w:tc>
        <w:tc>
          <w:tcPr>
            <w:tcW w:w="103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p>
        </w:tc>
      </w:tr>
    </w:tbl>
    <w:p>
      <w:pPr>
        <w:pStyle w:val="7"/>
        <w:rPr>
          <w:rFonts w:hint="eastAsia"/>
          <w:highlight w:val="none"/>
        </w:rPr>
      </w:pP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Times New Roman" w:hAnsi="Times New Roman" w:eastAsia="宋体" w:cs="Times New Roman"/>
          <w:i w:val="0"/>
          <w:iCs w:val="0"/>
          <w:color w:val="auto"/>
          <w:kern w:val="2"/>
          <w:sz w:val="24"/>
          <w:szCs w:val="24"/>
          <w:highlight w:val="none"/>
          <w:u w:val="none"/>
          <w:lang w:val="en-US" w:eastAsia="zh-CN" w:bidi="ar-SA"/>
        </w:rPr>
      </w:pPr>
      <w:r>
        <w:rPr>
          <w:rFonts w:hint="eastAsia" w:ascii="宋体" w:hAnsi="Times New Roman" w:eastAsia="宋体" w:cs="宋体"/>
          <w:i w:val="0"/>
          <w:iCs w:val="0"/>
          <w:color w:val="auto"/>
          <w:kern w:val="2"/>
          <w:sz w:val="24"/>
          <w:szCs w:val="24"/>
          <w:highlight w:val="none"/>
          <w:u w:val="none"/>
          <w:lang w:val="en-US" w:eastAsia="zh-CN" w:bidi="ar-SA"/>
        </w:rPr>
        <w:t>注:</w:t>
      </w:r>
      <w:r>
        <w:rPr>
          <w:rFonts w:hint="eastAsia" w:ascii="宋体" w:cs="宋体"/>
          <w:i w:val="0"/>
          <w:iCs w:val="0"/>
          <w:color w:val="auto"/>
          <w:kern w:val="2"/>
          <w:sz w:val="24"/>
          <w:szCs w:val="24"/>
          <w:highlight w:val="none"/>
          <w:u w:val="none"/>
          <w:lang w:val="en-US" w:eastAsia="zh-CN" w:bidi="ar-SA"/>
        </w:rPr>
        <w:t xml:space="preserve"> </w:t>
      </w:r>
      <w:r>
        <w:rPr>
          <w:rFonts w:hint="eastAsia" w:ascii="宋体" w:hAnsi="Times New Roman" w:eastAsia="宋体" w:cs="宋体"/>
          <w:i w:val="0"/>
          <w:iCs w:val="0"/>
          <w:color w:val="auto"/>
          <w:kern w:val="2"/>
          <w:sz w:val="24"/>
          <w:szCs w:val="24"/>
          <w:highlight w:val="none"/>
          <w:u w:val="none"/>
          <w:lang w:val="en-US" w:eastAsia="zh-CN" w:bidi="ar-SA"/>
        </w:rPr>
        <w:t>1</w:t>
      </w:r>
      <w:r>
        <w:rPr>
          <w:rFonts w:hint="eastAsia" w:ascii="宋体" w:cs="宋体"/>
          <w:i w:val="0"/>
          <w:iCs w:val="0"/>
          <w:color w:val="auto"/>
          <w:kern w:val="2"/>
          <w:sz w:val="24"/>
          <w:szCs w:val="24"/>
          <w:highlight w:val="none"/>
          <w:u w:val="none"/>
          <w:lang w:val="en-US" w:eastAsia="zh-CN" w:bidi="ar-SA"/>
        </w:rPr>
        <w:t>.</w:t>
      </w:r>
      <w:r>
        <w:rPr>
          <w:rFonts w:hint="eastAsia"/>
          <w:color w:val="auto"/>
          <w:sz w:val="24"/>
          <w:szCs w:val="24"/>
          <w:highlight w:val="none"/>
          <w:lang w:val="en-US" w:eastAsia="zh-CN"/>
        </w:rPr>
        <w:t>以上</w:t>
      </w:r>
      <w:r>
        <w:rPr>
          <w:rFonts w:hint="eastAsia" w:ascii="宋体" w:hAnsi="宋体" w:eastAsia="宋体" w:cs="宋体"/>
          <w:i w:val="0"/>
          <w:iCs w:val="0"/>
          <w:color w:val="auto"/>
          <w:kern w:val="0"/>
          <w:sz w:val="24"/>
          <w:szCs w:val="24"/>
          <w:highlight w:val="none"/>
          <w:u w:val="none"/>
          <w:lang w:val="en-US" w:eastAsia="zh-CN" w:bidi="ar"/>
        </w:rPr>
        <w:t>含税投标单价</w:t>
      </w:r>
      <w:r>
        <w:rPr>
          <w:rFonts w:hint="eastAsia"/>
          <w:color w:val="auto"/>
          <w:sz w:val="24"/>
          <w:szCs w:val="24"/>
          <w:highlight w:val="none"/>
          <w:lang w:val="en-US" w:eastAsia="zh-CN"/>
        </w:rPr>
        <w:t>为全费用固定单价，</w:t>
      </w:r>
      <w:r>
        <w:rPr>
          <w:color w:val="auto"/>
          <w:sz w:val="24"/>
          <w:szCs w:val="24"/>
          <w:highlight w:val="none"/>
        </w:rPr>
        <w:t>即</w:t>
      </w:r>
      <w:r>
        <w:rPr>
          <w:color w:val="auto"/>
          <w:spacing w:val="4"/>
          <w:sz w:val="24"/>
          <w:szCs w:val="24"/>
          <w:highlight w:val="none"/>
        </w:rPr>
        <w:t>包</w:t>
      </w:r>
      <w:r>
        <w:rPr>
          <w:color w:val="auto"/>
          <w:sz w:val="24"/>
          <w:szCs w:val="24"/>
          <w:highlight w:val="none"/>
        </w:rPr>
        <w:t>括但</w:t>
      </w:r>
      <w:r>
        <w:rPr>
          <w:color w:val="auto"/>
          <w:spacing w:val="4"/>
          <w:sz w:val="24"/>
          <w:szCs w:val="24"/>
          <w:highlight w:val="none"/>
        </w:rPr>
        <w:t>不</w:t>
      </w:r>
      <w:r>
        <w:rPr>
          <w:color w:val="auto"/>
          <w:sz w:val="24"/>
          <w:szCs w:val="24"/>
          <w:highlight w:val="none"/>
        </w:rPr>
        <w:t>限于</w:t>
      </w:r>
      <w:r>
        <w:rPr>
          <w:rFonts w:hint="eastAsia"/>
          <w:color w:val="auto"/>
          <w:sz w:val="24"/>
          <w:szCs w:val="24"/>
          <w:highlight w:val="none"/>
          <w:lang w:val="en-US" w:eastAsia="zh-CN"/>
        </w:rPr>
        <w:t>机械进出场、</w:t>
      </w:r>
      <w:r>
        <w:rPr>
          <w:color w:val="auto"/>
          <w:spacing w:val="4"/>
          <w:sz w:val="24"/>
          <w:szCs w:val="24"/>
          <w:highlight w:val="none"/>
        </w:rPr>
        <w:t>材</w:t>
      </w:r>
      <w:r>
        <w:rPr>
          <w:color w:val="auto"/>
          <w:sz w:val="24"/>
          <w:szCs w:val="24"/>
          <w:highlight w:val="none"/>
        </w:rPr>
        <w:t>料费</w:t>
      </w:r>
      <w:r>
        <w:rPr>
          <w:color w:val="auto"/>
          <w:spacing w:val="-20"/>
          <w:sz w:val="24"/>
          <w:szCs w:val="24"/>
          <w:highlight w:val="none"/>
        </w:rPr>
        <w:t>、</w:t>
      </w:r>
      <w:r>
        <w:rPr>
          <w:color w:val="auto"/>
          <w:sz w:val="24"/>
          <w:szCs w:val="24"/>
          <w:highlight w:val="none"/>
        </w:rPr>
        <w:t>人</w:t>
      </w:r>
      <w:r>
        <w:rPr>
          <w:color w:val="auto"/>
          <w:spacing w:val="4"/>
          <w:sz w:val="24"/>
          <w:szCs w:val="24"/>
          <w:highlight w:val="none"/>
        </w:rPr>
        <w:t>工</w:t>
      </w:r>
      <w:r>
        <w:rPr>
          <w:color w:val="auto"/>
          <w:sz w:val="24"/>
          <w:szCs w:val="24"/>
          <w:highlight w:val="none"/>
        </w:rPr>
        <w:t>费、</w:t>
      </w:r>
      <w:r>
        <w:rPr>
          <w:rFonts w:hint="eastAsia"/>
          <w:color w:val="auto"/>
          <w:sz w:val="24"/>
          <w:szCs w:val="24"/>
          <w:highlight w:val="none"/>
          <w:lang w:val="en-US" w:eastAsia="zh-CN"/>
        </w:rPr>
        <w:t>机</w:t>
      </w:r>
      <w:r>
        <w:rPr>
          <w:rFonts w:hint="default" w:ascii="Times New Roman" w:hAnsi="Times New Roman" w:eastAsia="宋体" w:cs="Times New Roman"/>
          <w:color w:val="auto"/>
          <w:sz w:val="24"/>
          <w:szCs w:val="24"/>
          <w:highlight w:val="none"/>
          <w:lang w:val="en-US" w:eastAsia="zh-CN"/>
        </w:rPr>
        <w:t>械费、措施费、养护费、</w:t>
      </w:r>
      <w:r>
        <w:rPr>
          <w:rFonts w:ascii="Times New Roman" w:hAnsi="Times New Roman" w:eastAsia="宋体" w:cs="Times New Roman"/>
          <w:color w:val="auto"/>
          <w:sz w:val="24"/>
          <w:szCs w:val="24"/>
          <w:highlight w:val="none"/>
        </w:rPr>
        <w:t>运</w:t>
      </w:r>
      <w:r>
        <w:rPr>
          <w:rFonts w:ascii="Times New Roman" w:hAnsi="Times New Roman" w:eastAsia="宋体" w:cs="Times New Roman"/>
          <w:color w:val="auto"/>
          <w:spacing w:val="0"/>
          <w:sz w:val="24"/>
          <w:szCs w:val="24"/>
          <w:highlight w:val="none"/>
        </w:rPr>
        <w:t>输</w:t>
      </w:r>
      <w:r>
        <w:rPr>
          <w:rFonts w:ascii="Times New Roman" w:hAnsi="Times New Roman" w:eastAsia="宋体" w:cs="Times New Roman"/>
          <w:color w:val="auto"/>
          <w:sz w:val="24"/>
          <w:szCs w:val="24"/>
          <w:highlight w:val="none"/>
        </w:rPr>
        <w:t>费、搬</w:t>
      </w:r>
      <w:r>
        <w:rPr>
          <w:rFonts w:ascii="Times New Roman" w:hAnsi="Times New Roman" w:eastAsia="宋体" w:cs="Times New Roman"/>
          <w:color w:val="auto"/>
          <w:spacing w:val="0"/>
          <w:sz w:val="24"/>
          <w:szCs w:val="24"/>
          <w:highlight w:val="none"/>
        </w:rPr>
        <w:t>运</w:t>
      </w:r>
      <w:r>
        <w:rPr>
          <w:rFonts w:ascii="Times New Roman" w:hAnsi="Times New Roman" w:eastAsia="宋体" w:cs="Times New Roman"/>
          <w:color w:val="auto"/>
          <w:sz w:val="24"/>
          <w:szCs w:val="24"/>
          <w:highlight w:val="none"/>
        </w:rPr>
        <w:t>费、</w:t>
      </w:r>
      <w:r>
        <w:rPr>
          <w:rFonts w:hint="default" w:ascii="Times New Roman" w:hAnsi="Times New Roman" w:eastAsia="宋体" w:cs="Times New Roman"/>
          <w:color w:val="auto"/>
          <w:sz w:val="24"/>
          <w:szCs w:val="24"/>
          <w:highlight w:val="none"/>
          <w:lang w:val="en-US" w:eastAsia="zh-CN"/>
        </w:rPr>
        <w:t>上</w:t>
      </w:r>
      <w:r>
        <w:rPr>
          <w:rFonts w:ascii="Times New Roman" w:hAnsi="Times New Roman" w:eastAsia="宋体" w:cs="Times New Roman"/>
          <w:color w:val="auto"/>
          <w:sz w:val="24"/>
          <w:szCs w:val="24"/>
          <w:highlight w:val="none"/>
        </w:rPr>
        <w:t>下</w:t>
      </w:r>
      <w:r>
        <w:rPr>
          <w:rFonts w:ascii="Times New Roman" w:hAnsi="Times New Roman" w:eastAsia="宋体" w:cs="Times New Roman"/>
          <w:color w:val="auto"/>
          <w:spacing w:val="0"/>
          <w:sz w:val="24"/>
          <w:szCs w:val="24"/>
          <w:highlight w:val="none"/>
        </w:rPr>
        <w:t>车</w:t>
      </w:r>
      <w:r>
        <w:rPr>
          <w:rFonts w:ascii="Times New Roman" w:hAnsi="Times New Roman" w:eastAsia="宋体" w:cs="Times New Roman"/>
          <w:color w:val="auto"/>
          <w:sz w:val="24"/>
          <w:szCs w:val="24"/>
          <w:highlight w:val="none"/>
        </w:rPr>
        <w:t>费</w:t>
      </w:r>
      <w:r>
        <w:rPr>
          <w:rFonts w:ascii="Times New Roman" w:hAnsi="Times New Roman" w:eastAsia="宋体" w:cs="Times New Roman"/>
          <w:color w:val="auto"/>
          <w:spacing w:val="0"/>
          <w:sz w:val="24"/>
          <w:szCs w:val="24"/>
          <w:highlight w:val="none"/>
        </w:rPr>
        <w:t>、</w:t>
      </w:r>
      <w:r>
        <w:rPr>
          <w:rFonts w:ascii="Times New Roman" w:hAnsi="Times New Roman" w:eastAsia="宋体" w:cs="Times New Roman"/>
          <w:color w:val="auto"/>
          <w:sz w:val="24"/>
          <w:szCs w:val="24"/>
          <w:highlight w:val="none"/>
        </w:rPr>
        <w:t>管</w:t>
      </w:r>
      <w:r>
        <w:rPr>
          <w:rFonts w:ascii="Times New Roman" w:hAnsi="Times New Roman" w:eastAsia="宋体" w:cs="Times New Roman"/>
          <w:color w:val="auto"/>
          <w:spacing w:val="0"/>
          <w:sz w:val="24"/>
          <w:szCs w:val="24"/>
          <w:highlight w:val="none"/>
        </w:rPr>
        <w:t>理</w:t>
      </w:r>
      <w:r>
        <w:rPr>
          <w:rFonts w:ascii="Times New Roman" w:hAnsi="Times New Roman" w:eastAsia="宋体" w:cs="Times New Roman"/>
          <w:color w:val="auto"/>
          <w:sz w:val="24"/>
          <w:szCs w:val="24"/>
          <w:highlight w:val="none"/>
        </w:rPr>
        <w:t>费、利润、税</w:t>
      </w:r>
      <w:r>
        <w:rPr>
          <w:rFonts w:ascii="Times New Roman" w:hAnsi="Times New Roman" w:eastAsia="宋体" w:cs="Times New Roman"/>
          <w:color w:val="auto"/>
          <w:spacing w:val="0"/>
          <w:sz w:val="24"/>
          <w:szCs w:val="24"/>
          <w:highlight w:val="none"/>
        </w:rPr>
        <w:t>金</w:t>
      </w:r>
      <w:r>
        <w:rPr>
          <w:rFonts w:ascii="Times New Roman" w:hAnsi="Times New Roman" w:eastAsia="宋体" w:cs="Times New Roman"/>
          <w:b w:val="0"/>
          <w:color w:val="auto"/>
          <w:spacing w:val="0"/>
          <w:sz w:val="24"/>
          <w:szCs w:val="24"/>
          <w:highlight w:val="none"/>
          <w:u w:val="none"/>
        </w:rPr>
        <w:t>（</w:t>
      </w:r>
      <w:r>
        <w:rPr>
          <w:rFonts w:hint="eastAsia" w:ascii="Times New Roman" w:hAnsi="Times New Roman" w:eastAsia="宋体" w:cs="Times New Roman"/>
          <w:b w:val="0"/>
          <w:color w:val="auto"/>
          <w:spacing w:val="0"/>
          <w:sz w:val="24"/>
          <w:szCs w:val="24"/>
          <w:highlight w:val="none"/>
          <w:u w:val="none"/>
          <w:lang w:val="en-US" w:eastAsia="zh-CN"/>
        </w:rPr>
        <w:t>9</w:t>
      </w:r>
      <w:r>
        <w:rPr>
          <w:rFonts w:hint="eastAsia" w:cs="Times New Roman"/>
          <w:b w:val="0"/>
          <w:color w:val="auto"/>
          <w:spacing w:val="0"/>
          <w:sz w:val="24"/>
          <w:szCs w:val="24"/>
          <w:highlight w:val="none"/>
          <w:u w:val="none"/>
          <w:lang w:val="en-US" w:eastAsia="zh-CN"/>
        </w:rPr>
        <w:t xml:space="preserve"> </w:t>
      </w:r>
      <w:r>
        <w:rPr>
          <w:rFonts w:hint="eastAsia" w:ascii="Times New Roman" w:hAnsi="Times New Roman" w:eastAsia="宋体" w:cs="Times New Roman"/>
          <w:b w:val="0"/>
          <w:color w:val="auto"/>
          <w:sz w:val="24"/>
          <w:szCs w:val="24"/>
          <w:highlight w:val="none"/>
          <w:u w:val="none"/>
        </w:rPr>
        <w:t>%）</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i w:val="0"/>
          <w:iCs w:val="0"/>
          <w:color w:val="auto"/>
          <w:kern w:val="2"/>
          <w:sz w:val="24"/>
          <w:szCs w:val="24"/>
          <w:highlight w:val="none"/>
          <w:u w:val="none"/>
          <w:lang w:val="en-US" w:eastAsia="zh-CN" w:bidi="ar-SA"/>
        </w:rPr>
        <w:t>验收合格交付使用之前及质保期内服务与备用物件等所有其他有关各项的含税费用；</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Times New Roman" w:hAnsi="Times New Roman" w:eastAsia="宋体" w:cs="Times New Roman"/>
          <w:i w:val="0"/>
          <w:iCs w:val="0"/>
          <w:color w:val="auto"/>
          <w:kern w:val="2"/>
          <w:sz w:val="24"/>
          <w:szCs w:val="24"/>
          <w:highlight w:val="none"/>
          <w:u w:val="none"/>
          <w:lang w:val="en-US" w:eastAsia="zh-CN" w:bidi="ar-SA"/>
        </w:rPr>
      </w:pPr>
      <w:r>
        <w:rPr>
          <w:rFonts w:hint="eastAsia" w:ascii="Times New Roman" w:hAnsi="Times New Roman" w:eastAsia="宋体" w:cs="Times New Roman"/>
          <w:i w:val="0"/>
          <w:iCs w:val="0"/>
          <w:color w:val="auto"/>
          <w:kern w:val="2"/>
          <w:sz w:val="24"/>
          <w:szCs w:val="24"/>
          <w:highlight w:val="none"/>
          <w:u w:val="none"/>
          <w:lang w:val="en-US" w:eastAsia="zh-CN" w:bidi="ar-SA"/>
        </w:rPr>
        <w:t>2</w:t>
      </w:r>
      <w:r>
        <w:rPr>
          <w:rFonts w:hint="default" w:cs="Times New Roman"/>
          <w:i w:val="0"/>
          <w:iCs w:val="0"/>
          <w:color w:val="auto"/>
          <w:kern w:val="2"/>
          <w:sz w:val="24"/>
          <w:szCs w:val="24"/>
          <w:highlight w:val="none"/>
          <w:u w:val="none"/>
          <w:lang w:val="en-US" w:eastAsia="zh-CN" w:bidi="ar-SA"/>
        </w:rPr>
        <w:t>.</w:t>
      </w:r>
      <w:r>
        <w:rPr>
          <w:rFonts w:hint="eastAsia" w:ascii="Times New Roman" w:hAnsi="Times New Roman" w:eastAsia="宋体" w:cs="Times New Roman"/>
          <w:i w:val="0"/>
          <w:iCs w:val="0"/>
          <w:color w:val="auto"/>
          <w:kern w:val="2"/>
          <w:sz w:val="24"/>
          <w:szCs w:val="24"/>
          <w:highlight w:val="none"/>
          <w:u w:val="none"/>
          <w:lang w:val="en-US" w:eastAsia="zh-CN" w:bidi="ar-SA"/>
        </w:rPr>
        <w:t>修复/恢复的材料须不低于原材料的规格型号，质量</w:t>
      </w:r>
      <w:r>
        <w:rPr>
          <w:rFonts w:hint="default" w:ascii="Times New Roman" w:hAnsi="Times New Roman" w:eastAsia="宋体" w:cs="Times New Roman"/>
          <w:color w:val="auto"/>
          <w:kern w:val="2"/>
          <w:sz w:val="24"/>
          <w:szCs w:val="24"/>
          <w:highlight w:val="none"/>
          <w:lang w:val="en-US" w:eastAsia="zh-CN" w:bidi="ar-SA"/>
        </w:rPr>
        <w:t>符合国家现行工程施工质量验收规范合格标准</w:t>
      </w:r>
      <w:r>
        <w:rPr>
          <w:rFonts w:hint="eastAsia" w:ascii="Times New Roman" w:hAnsi="Times New Roman" w:eastAsia="宋体" w:cs="Times New Roman"/>
          <w:color w:val="auto"/>
          <w:kern w:val="2"/>
          <w:sz w:val="24"/>
          <w:szCs w:val="24"/>
          <w:highlight w:val="none"/>
          <w:lang w:val="en-US" w:eastAsia="zh-CN" w:bidi="ar-SA"/>
        </w:rPr>
        <w:t>；</w:t>
      </w:r>
    </w:p>
    <w:p>
      <w:pPr>
        <w:numPr>
          <w:ilvl w:val="-1"/>
          <w:numId w:val="0"/>
        </w:numPr>
        <w:spacing w:line="360" w:lineRule="auto"/>
        <w:ind w:firstLine="0" w:firstLineChars="0"/>
        <w:jc w:val="left"/>
        <w:outlineLvl w:val="9"/>
        <w:rPr>
          <w:rFonts w:hint="eastAsia" w:ascii="Times New Roman" w:hAnsi="Times New Roman" w:eastAsia="宋体" w:cs="Times New Roman"/>
          <w:color w:val="auto"/>
          <w:sz w:val="24"/>
          <w:highlight w:val="none"/>
          <w:lang w:val="en-US" w:eastAsia="zh-CN"/>
        </w:rPr>
      </w:pPr>
      <w:r>
        <w:rPr>
          <w:rFonts w:hint="eastAsia" w:cs="Times New Roman"/>
          <w:color w:val="auto"/>
          <w:kern w:val="2"/>
          <w:sz w:val="24"/>
          <w:szCs w:val="24"/>
          <w:highlight w:val="none"/>
          <w:lang w:val="en-US" w:eastAsia="zh-CN" w:bidi="ar-SA"/>
        </w:rPr>
        <w:t>3</w:t>
      </w:r>
      <w:r>
        <w:rPr>
          <w:rFonts w:hint="default"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报价表内的</w:t>
      </w:r>
      <w:r>
        <w:rPr>
          <w:rFonts w:hint="eastAsia" w:cs="Times New Roman"/>
          <w:color w:val="auto"/>
          <w:kern w:val="2"/>
          <w:sz w:val="24"/>
          <w:szCs w:val="24"/>
          <w:highlight w:val="none"/>
          <w:lang w:val="en-US" w:eastAsia="zh-CN" w:bidi="ar-SA"/>
        </w:rPr>
        <w:t>投标报价</w:t>
      </w:r>
      <w:r>
        <w:rPr>
          <w:rFonts w:hint="eastAsia" w:ascii="Times New Roman" w:hAnsi="Times New Roman" w:eastAsia="宋体" w:cs="Times New Roman"/>
          <w:color w:val="auto"/>
          <w:kern w:val="2"/>
          <w:sz w:val="24"/>
          <w:szCs w:val="24"/>
          <w:highlight w:val="none"/>
          <w:lang w:val="en-US" w:eastAsia="zh-CN" w:bidi="ar-SA"/>
        </w:rPr>
        <w:t>不</w:t>
      </w:r>
      <w:r>
        <w:rPr>
          <w:rFonts w:hint="eastAsia" w:cs="Times New Roman"/>
          <w:color w:val="auto"/>
          <w:kern w:val="2"/>
          <w:sz w:val="24"/>
          <w:szCs w:val="24"/>
          <w:highlight w:val="none"/>
          <w:lang w:val="en-US" w:eastAsia="zh-CN" w:bidi="ar-SA"/>
        </w:rPr>
        <w:t>得</w:t>
      </w:r>
      <w:r>
        <w:rPr>
          <w:rFonts w:hint="eastAsia" w:ascii="Times New Roman" w:hAnsi="Times New Roman" w:eastAsia="宋体" w:cs="Times New Roman"/>
          <w:color w:val="auto"/>
          <w:kern w:val="2"/>
          <w:sz w:val="24"/>
          <w:szCs w:val="24"/>
          <w:highlight w:val="none"/>
          <w:lang w:val="en-US" w:eastAsia="zh-CN" w:bidi="ar-SA"/>
        </w:rPr>
        <w:t>超过最高单价，否则报价无效。采购数量按实际交付数量结算。</w:t>
      </w:r>
    </w:p>
    <w:p>
      <w:pPr>
        <w:numPr>
          <w:ilvl w:val="0"/>
          <w:numId w:val="0"/>
        </w:numPr>
        <w:spacing w:line="360" w:lineRule="auto"/>
        <w:ind w:firstLine="480" w:firstLineChars="200"/>
        <w:jc w:val="left"/>
        <w:outlineLvl w:val="1"/>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4</w:t>
      </w:r>
      <w:r>
        <w:rPr>
          <w:rFonts w:hint="default" w:cs="Times New Roman"/>
          <w:color w:val="auto"/>
          <w:sz w:val="24"/>
          <w:highlight w:val="none"/>
          <w:lang w:val="en-US" w:eastAsia="zh-CN"/>
        </w:rPr>
        <w:t>.</w:t>
      </w:r>
      <w:r>
        <w:rPr>
          <w:rFonts w:hint="eastAsia" w:ascii="Times New Roman" w:hAnsi="Times New Roman" w:eastAsia="宋体" w:cs="Times New Roman"/>
          <w:color w:val="auto"/>
          <w:sz w:val="24"/>
          <w:highlight w:val="none"/>
          <w:lang w:eastAsia="zh-CN"/>
        </w:rPr>
        <w:t>本表数量为暂定</w:t>
      </w:r>
      <w:r>
        <w:rPr>
          <w:rFonts w:hint="eastAsia" w:ascii="Times New Roman" w:hAnsi="Times New Roman" w:eastAsia="宋体" w:cs="Times New Roman"/>
          <w:color w:val="auto"/>
          <w:sz w:val="24"/>
          <w:highlight w:val="none"/>
          <w:lang w:val="en-US" w:eastAsia="zh-CN"/>
        </w:rPr>
        <w:t>工程量</w:t>
      </w:r>
      <w:r>
        <w:rPr>
          <w:rFonts w:hint="eastAsia" w:ascii="Times New Roman" w:hAnsi="Times New Roman" w:eastAsia="宋体" w:cs="Times New Roman"/>
          <w:color w:val="auto"/>
          <w:sz w:val="24"/>
          <w:highlight w:val="none"/>
          <w:lang w:eastAsia="zh-CN"/>
        </w:rPr>
        <w:t>，最终</w:t>
      </w:r>
      <w:r>
        <w:rPr>
          <w:rFonts w:hint="eastAsia" w:ascii="Times New Roman" w:hAnsi="Times New Roman" w:eastAsia="宋体" w:cs="Times New Roman"/>
          <w:color w:val="auto"/>
          <w:sz w:val="24"/>
          <w:highlight w:val="none"/>
          <w:lang w:val="en-US" w:eastAsia="zh-CN"/>
        </w:rPr>
        <w:t>工程量</w:t>
      </w:r>
      <w:r>
        <w:rPr>
          <w:rFonts w:hint="eastAsia" w:ascii="Times New Roman" w:hAnsi="Times New Roman" w:eastAsia="宋体" w:cs="Times New Roman"/>
          <w:color w:val="auto"/>
          <w:sz w:val="24"/>
          <w:highlight w:val="none"/>
          <w:lang w:eastAsia="zh-CN"/>
        </w:rPr>
        <w:t>按照</w:t>
      </w:r>
      <w:r>
        <w:rPr>
          <w:rFonts w:hint="eastAsia" w:ascii="Times New Roman" w:hAnsi="Times New Roman" w:eastAsia="宋体" w:cs="Times New Roman"/>
          <w:color w:val="auto"/>
          <w:sz w:val="24"/>
          <w:highlight w:val="none"/>
          <w:lang w:val="en-US" w:eastAsia="zh-CN"/>
        </w:rPr>
        <w:t>采购人</w:t>
      </w:r>
      <w:r>
        <w:rPr>
          <w:rFonts w:hint="eastAsia" w:ascii="Times New Roman" w:hAnsi="Times New Roman" w:eastAsia="宋体" w:cs="Times New Roman"/>
          <w:color w:val="auto"/>
          <w:sz w:val="24"/>
          <w:highlight w:val="none"/>
          <w:lang w:eastAsia="zh-CN"/>
        </w:rPr>
        <w:t>验收合格的数量为准</w:t>
      </w:r>
      <w:r>
        <w:rPr>
          <w:rFonts w:hint="default"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最终结算不超过16万元，如超过16万元，超出部分出乙方承担</w:t>
      </w:r>
      <w:r>
        <w:rPr>
          <w:rFonts w:hint="eastAsia" w:ascii="Times New Roman" w:hAnsi="Times New Roman" w:eastAsia="宋体" w:cs="Times New Roman"/>
          <w:color w:val="auto"/>
          <w:sz w:val="24"/>
          <w:highlight w:val="none"/>
          <w:lang w:eastAsia="zh-CN"/>
        </w:rPr>
        <w:t>；</w:t>
      </w:r>
    </w:p>
    <w:p>
      <w:pPr>
        <w:numPr>
          <w:ilvl w:val="-1"/>
          <w:numId w:val="0"/>
        </w:numPr>
        <w:spacing w:line="360" w:lineRule="auto"/>
        <w:ind w:firstLine="240" w:firstLineChars="100"/>
        <w:jc w:val="left"/>
        <w:outlineLvl w:val="9"/>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5</w:t>
      </w:r>
      <w:r>
        <w:rPr>
          <w:rFonts w:hint="default" w:cs="Times New Roman"/>
          <w:color w:val="auto"/>
          <w:sz w:val="24"/>
          <w:highlight w:val="none"/>
          <w:lang w:val="en-US" w:eastAsia="zh-CN"/>
        </w:rPr>
        <w:t>.</w:t>
      </w:r>
      <w:r>
        <w:rPr>
          <w:rFonts w:hint="eastAsia" w:ascii="Times New Roman" w:hAnsi="Times New Roman" w:eastAsia="宋体" w:cs="Times New Roman"/>
          <w:color w:val="auto"/>
          <w:sz w:val="24"/>
          <w:highlight w:val="none"/>
          <w:lang w:eastAsia="zh-CN"/>
        </w:rPr>
        <w:t>报价保留</w:t>
      </w:r>
      <w:r>
        <w:rPr>
          <w:rFonts w:hint="eastAsia" w:ascii="Times New Roman" w:hAnsi="Times New Roman" w:eastAsia="宋体" w:cs="Times New Roman"/>
          <w:color w:val="auto"/>
          <w:sz w:val="24"/>
          <w:highlight w:val="none"/>
          <w:lang w:val="en-US" w:eastAsia="zh-CN"/>
        </w:rPr>
        <w:t>两</w:t>
      </w:r>
      <w:r>
        <w:rPr>
          <w:rFonts w:hint="eastAsia" w:ascii="Times New Roman" w:hAnsi="Times New Roman" w:eastAsia="宋体" w:cs="Times New Roman"/>
          <w:color w:val="auto"/>
          <w:sz w:val="24"/>
          <w:highlight w:val="none"/>
          <w:lang w:eastAsia="zh-CN"/>
        </w:rPr>
        <w:t>位小数（小数位数不作为废标条件）；</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240" w:firstLineChars="100"/>
        <w:jc w:val="left"/>
        <w:textAlignment w:val="auto"/>
        <w:outlineLvl w:val="9"/>
        <w:rPr>
          <w:rFonts w:hint="default" w:ascii="Times New Roman" w:hAnsi="Times New Roman" w:eastAsia="宋体" w:cs="Times New Roman"/>
          <w:bCs w:val="0"/>
          <w:color w:val="auto"/>
          <w:sz w:val="24"/>
          <w:highlight w:val="none"/>
          <w:lang w:val="en-US" w:eastAsia="zh-CN"/>
        </w:rPr>
      </w:pPr>
      <w:r>
        <w:rPr>
          <w:rFonts w:hint="eastAsia" w:ascii="Times New Roman" w:hAnsi="Times New Roman" w:eastAsia="宋体" w:cs="Times New Roman"/>
          <w:color w:val="auto"/>
          <w:sz w:val="24"/>
          <w:highlight w:val="none"/>
          <w:lang w:val="en-US" w:eastAsia="zh-CN"/>
        </w:rPr>
        <w:t>6</w:t>
      </w:r>
      <w:r>
        <w:rPr>
          <w:rFonts w:hint="eastAsia"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报价为含税价，税率为9%，税率最终按实结算</w:t>
      </w:r>
      <w:r>
        <w:rPr>
          <w:rFonts w:hint="default" w:cs="Times New Roman"/>
          <w:color w:val="auto"/>
          <w:sz w:val="24"/>
          <w:highlight w:val="none"/>
          <w:lang w:val="en-US" w:eastAsia="zh-CN"/>
        </w:rPr>
        <w:t>；</w:t>
      </w:r>
    </w:p>
    <w:p>
      <w:pPr>
        <w:spacing w:before="1" w:line="534" w:lineRule="exact"/>
        <w:ind w:firstLine="240" w:firstLineChars="100"/>
        <w:outlineLvl w:val="1"/>
        <w:rPr>
          <w:rFonts w:ascii="Times New Roman" w:hAnsi="Times New Roman" w:eastAsia="宋体" w:cs="Times New Roman"/>
          <w:color w:val="auto"/>
          <w:sz w:val="24"/>
          <w:highlight w:val="none"/>
        </w:rPr>
      </w:pPr>
      <w:r>
        <w:rPr>
          <w:rFonts w:hint="eastAsia" w:ascii="Times New Roman" w:hAnsi="Times New Roman" w:eastAsia="宋体" w:cs="Times New Roman"/>
          <w:b w:val="0"/>
          <w:color w:val="auto"/>
          <w:sz w:val="24"/>
          <w:highlight w:val="none"/>
          <w:lang w:val="en-US" w:eastAsia="zh-CN"/>
        </w:rPr>
        <w:t>7.</w:t>
      </w:r>
      <w:r>
        <w:rPr>
          <w:rFonts w:hint="default" w:ascii="Times New Roman" w:hAnsi="Times New Roman" w:eastAsia="宋体" w:cs="Times New Roman"/>
          <w:b w:val="0"/>
          <w:color w:val="auto"/>
          <w:sz w:val="24"/>
          <w:highlight w:val="none"/>
          <w:lang w:val="en-US" w:eastAsia="zh-CN"/>
        </w:rPr>
        <w:t>检测方法为：</w:t>
      </w:r>
      <w:r>
        <w:rPr>
          <w:rFonts w:hint="eastAsia" w:ascii="Times New Roman" w:hAnsi="Times New Roman" w:eastAsia="宋体" w:cs="Times New Roman"/>
          <w:color w:val="auto"/>
          <w:sz w:val="24"/>
          <w:szCs w:val="24"/>
          <w:highlight w:val="none"/>
          <w:lang w:val="en-US" w:eastAsia="zh-CN"/>
        </w:rPr>
        <w:t>示踪气体检测法</w:t>
      </w:r>
      <w:r>
        <w:rPr>
          <w:rFonts w:hint="default" w:ascii="Times New Roman" w:hAnsi="Times New Roman" w:eastAsia="宋体" w:cs="Times New Roman"/>
          <w:color w:val="auto"/>
          <w:sz w:val="24"/>
          <w:szCs w:val="24"/>
          <w:highlight w:val="none"/>
          <w:lang w:val="en-US" w:eastAsia="zh-CN"/>
        </w:rPr>
        <w:t>。</w:t>
      </w:r>
    </w:p>
    <w:p>
      <w:pPr>
        <w:spacing w:line="360" w:lineRule="auto"/>
        <w:ind w:firstLine="480" w:firstLineChars="200"/>
        <w:jc w:val="left"/>
        <w:rPr>
          <w:rFonts w:hint="eastAsia"/>
          <w:color w:val="auto"/>
          <w:sz w:val="24"/>
          <w:highlight w:val="none"/>
        </w:rPr>
      </w:pPr>
    </w:p>
    <w:p>
      <w:pPr>
        <w:pStyle w:val="3"/>
        <w:rPr>
          <w:rFonts w:hint="eastAsia"/>
          <w:color w:val="auto"/>
          <w:sz w:val="24"/>
          <w:highlight w:val="none"/>
        </w:rPr>
      </w:pPr>
    </w:p>
    <w:p>
      <w:pPr>
        <w:pStyle w:val="3"/>
        <w:rPr>
          <w:rFonts w:hint="eastAsia"/>
          <w:color w:val="auto"/>
          <w:sz w:val="24"/>
          <w:highlight w:val="none"/>
        </w:rPr>
      </w:pPr>
    </w:p>
    <w:p>
      <w:pPr>
        <w:pStyle w:val="3"/>
        <w:rPr>
          <w:rFonts w:hint="eastAsia"/>
          <w:color w:val="auto"/>
          <w:sz w:val="24"/>
          <w:highlight w:val="none"/>
        </w:rPr>
      </w:pPr>
    </w:p>
    <w:p>
      <w:pPr>
        <w:pStyle w:val="3"/>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供应商名称：XXX（盖单位公章）</w:t>
      </w:r>
    </w:p>
    <w:p>
      <w:pPr>
        <w:spacing w:line="360" w:lineRule="auto"/>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28412"/>
      <w:bookmarkStart w:id="53"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A3"/>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ascii="Times New Roman" w:hAnsi="Times New Roman" w:eastAsia="宋体" w:cs="Times New Roman"/>
          <w:color w:val="auto"/>
          <w:sz w:val="24"/>
          <w:highlight w:val="none"/>
        </w:rPr>
      </w:pPr>
      <w:r>
        <w:rPr>
          <w:rFonts w:hint="eastAsia"/>
          <w:color w:val="auto"/>
          <w:sz w:val="24"/>
          <w:highlight w:val="none"/>
        </w:rPr>
        <w:t>（七）根据采购</w:t>
      </w:r>
      <w:r>
        <w:rPr>
          <w:rFonts w:hint="eastAsia" w:ascii="Times New Roman" w:hAnsi="Times New Roman" w:eastAsia="宋体" w:cs="Times New Roman"/>
          <w:color w:val="auto"/>
          <w:sz w:val="24"/>
          <w:highlight w:val="none"/>
        </w:rPr>
        <w:t xml:space="preserve">项目提出的特殊条件：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pStyle w:val="3"/>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before="0" w:beforeLines="-2147483648" w:after="0" w:afterLines="-2147483648" w:line="360" w:lineRule="auto"/>
        <w:ind w:firstLine="480" w:firstLineChars="200"/>
        <w:jc w:val="center"/>
        <w:outlineLvl w:val="9"/>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highlight w:val="none"/>
        </w:rPr>
        <w:br w:type="page"/>
      </w:r>
      <w:bookmarkStart w:id="54" w:name="_Toc2900"/>
      <w:bookmarkStart w:id="55" w:name="_Toc9917"/>
      <w:bookmarkStart w:id="56" w:name="_Toc2589"/>
      <w:bookmarkStart w:id="57" w:name="_Toc30219"/>
      <w:bookmarkStart w:id="58" w:name="_Toc91771169"/>
      <w:bookmarkStart w:id="59" w:name="_Toc28506"/>
      <w:bookmarkStart w:id="60"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91771170"/>
      <w:bookmarkStart w:id="62" w:name="_Toc1333"/>
      <w:r>
        <w:rPr>
          <w:rFonts w:hint="eastAsia" w:ascii="黑体" w:hAnsi="黑体" w:eastAsia="黑体" w:cs="Arial"/>
          <w:bCs/>
          <w:color w:val="auto"/>
          <w:sz w:val="32"/>
          <w:szCs w:val="32"/>
          <w:highlight w:val="none"/>
        </w:rPr>
        <w:t>七、供应商基本情况表</w:t>
      </w:r>
      <w:bookmarkEnd w:id="61"/>
      <w:bookmarkEnd w:id="62"/>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3"/>
        <w:rPr>
          <w:rFonts w:hint="eastAsia"/>
          <w:color w:val="auto"/>
          <w:highlight w:val="none"/>
        </w:rPr>
      </w:pPr>
    </w:p>
    <w:p>
      <w:pPr>
        <w:rPr>
          <w:rFonts w:hint="eastAsia" w:ascii="宋体" w:hAnsi="宋体"/>
          <w:b/>
          <w:bCs/>
          <w:color w:val="auto"/>
          <w:sz w:val="28"/>
          <w:szCs w:val="28"/>
          <w:highlight w:val="none"/>
        </w:rPr>
        <w:sectPr>
          <w:pgSz w:w="11906" w:h="16840"/>
          <w:pgMar w:top="1440" w:right="1800" w:bottom="1440" w:left="1800" w:header="851" w:footer="992" w:gutter="0"/>
          <w:cols w:space="720" w:num="1"/>
          <w:docGrid w:linePitch="312" w:charSpace="0"/>
        </w:sectPr>
      </w:pPr>
    </w:p>
    <w:p>
      <w:pPr>
        <w:spacing w:before="156" w:beforeLines="50" w:after="468" w:afterLines="150"/>
        <w:jc w:val="center"/>
        <w:outlineLvl w:val="0"/>
        <w:rPr>
          <w:rFonts w:hint="eastAsia" w:ascii="黑体" w:hAnsi="黑体" w:eastAsia="黑体"/>
          <w:color w:val="auto"/>
          <w:sz w:val="36"/>
          <w:highlight w:val="none"/>
        </w:rPr>
      </w:pPr>
      <w:bookmarkStart w:id="63" w:name="_Toc5422"/>
      <w:bookmarkStart w:id="64" w:name="_Toc91771175"/>
      <w:bookmarkStart w:id="65" w:name="_Toc797"/>
    </w:p>
    <w:p>
      <w:pPr>
        <w:spacing w:before="156" w:beforeLines="50" w:after="468" w:afterLines="150"/>
        <w:jc w:val="center"/>
        <w:outlineLvl w:val="0"/>
        <w:rPr>
          <w:rStyle w:val="26"/>
          <w:rFonts w:hint="eastAsia"/>
          <w:color w:val="auto"/>
          <w:highlight w:val="none"/>
        </w:rPr>
      </w:pPr>
      <w:r>
        <w:rPr>
          <w:rFonts w:hint="eastAsia" w:ascii="黑体" w:hAnsi="黑体" w:eastAsia="黑体"/>
          <w:color w:val="auto"/>
          <w:sz w:val="36"/>
          <w:highlight w:val="none"/>
        </w:rPr>
        <w:t>第五章 保证金退还申请书</w:t>
      </w:r>
      <w:bookmarkEnd w:id="63"/>
      <w:bookmarkEnd w:id="64"/>
      <w:bookmarkEnd w:id="65"/>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3"/>
        <w:spacing w:line="276" w:lineRule="auto"/>
        <w:ind w:firstLine="484" w:firstLineChars="202"/>
        <w:rPr>
          <w:rFonts w:hint="eastAsia"/>
          <w:color w:val="auto"/>
          <w:sz w:val="24"/>
          <w:highlight w:val="none"/>
        </w:rPr>
      </w:pPr>
      <w:r>
        <w:rPr>
          <w:rFonts w:hint="eastAsia"/>
          <w:color w:val="auto"/>
          <w:sz w:val="24"/>
          <w:highlight w:val="none"/>
        </w:rPr>
        <w:t>4.联系电话</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15196688161</w:t>
      </w:r>
      <w:r>
        <w:rPr>
          <w:rFonts w:hint="eastAsia" w:ascii="Times New Roman" w:hAnsi="Times New Roman" w:eastAsia="宋体" w:cs="Times New Roman"/>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聂女士</w:t>
      </w:r>
      <w:r>
        <w:rPr>
          <w:rFonts w:hint="eastAsia"/>
          <w:color w:val="auto"/>
          <w:sz w:val="24"/>
          <w:highlight w:val="none"/>
        </w:rPr>
        <w:t xml:space="preserve"> </w:t>
      </w:r>
    </w:p>
    <w:p>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66" w:name="_Toc91771176"/>
      <w:bookmarkStart w:id="67"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66"/>
      <w:bookmarkEnd w:id="6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68" w:name="_Toc91771177"/>
      <w:bookmarkStart w:id="69" w:name="_Toc32464"/>
      <w:r>
        <w:rPr>
          <w:rFonts w:hint="eastAsia" w:ascii="宋体" w:hAnsi="宋体"/>
          <w:b/>
          <w:bCs/>
          <w:color w:val="auto"/>
          <w:sz w:val="24"/>
          <w:highlight w:val="none"/>
        </w:rPr>
        <w:t>一、询价程序</w:t>
      </w:r>
      <w:bookmarkEnd w:id="68"/>
      <w:bookmarkEnd w:id="6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0" w:name="_Toc29972"/>
      <w:bookmarkStart w:id="71" w:name="_Toc91771178"/>
      <w:r>
        <w:rPr>
          <w:rFonts w:hint="eastAsia" w:ascii="宋体" w:hAnsi="宋体"/>
          <w:b/>
          <w:bCs/>
          <w:color w:val="auto"/>
          <w:sz w:val="24"/>
          <w:highlight w:val="none"/>
        </w:rPr>
        <w:t>二、评审程序、评审方法、评审标准</w:t>
      </w:r>
      <w:bookmarkEnd w:id="70"/>
      <w:bookmarkEnd w:id="7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26769"/>
      <w:bookmarkStart w:id="73" w:name="_Toc91771179"/>
      <w:r>
        <w:rPr>
          <w:rFonts w:hint="eastAsia" w:ascii="宋体" w:hAnsi="宋体"/>
          <w:b/>
          <w:bCs/>
          <w:color w:val="auto"/>
          <w:sz w:val="24"/>
          <w:highlight w:val="none"/>
        </w:rPr>
        <w:t>三、评审纪律</w:t>
      </w:r>
      <w:bookmarkEnd w:id="72"/>
      <w:bookmarkEnd w:id="7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1"/>
      <w:bookmarkEnd w:id="32"/>
      <w:bookmarkEnd w:id="33"/>
      <w:bookmarkStart w:id="74" w:name="_Hlt101846155"/>
      <w:bookmarkEnd w:id="74"/>
      <w:bookmarkStart w:id="75" w:name="_Toc217446059"/>
      <w:bookmarkStart w:id="76"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77" w:name="_Toc91771180"/>
      <w:bookmarkStart w:id="78" w:name="_Toc16431"/>
      <w:r>
        <w:rPr>
          <w:rFonts w:hint="eastAsia" w:ascii="黑体" w:hAnsi="黑体" w:eastAsia="黑体"/>
          <w:color w:val="auto"/>
          <w:sz w:val="36"/>
          <w:highlight w:val="none"/>
        </w:rPr>
        <w:t>第七章 采购合同（草案）</w:t>
      </w:r>
      <w:bookmarkEnd w:id="77"/>
      <w:bookmarkEnd w:id="78"/>
    </w:p>
    <w:bookmarkEnd w:id="75"/>
    <w:bookmarkEnd w:id="76"/>
    <w:p>
      <w:pPr>
        <w:pStyle w:val="3"/>
        <w:spacing w:before="10"/>
        <w:ind w:firstLine="562" w:firstLineChars="200"/>
        <w:rPr>
          <w:rFonts w:hint="eastAsia" w:ascii="Arial" w:eastAsia="宋体"/>
          <w:b/>
          <w:color w:val="auto"/>
          <w:sz w:val="28"/>
          <w:szCs w:val="28"/>
          <w:highlight w:val="none"/>
          <w:lang w:eastAsia="zh-CN"/>
        </w:rPr>
      </w:pPr>
      <w:r>
        <w:rPr>
          <w:rFonts w:hint="eastAsia" w:ascii="Arial"/>
          <w:b/>
          <w:color w:val="auto"/>
          <w:sz w:val="28"/>
          <w:szCs w:val="28"/>
          <w:highlight w:val="none"/>
          <w:lang w:eastAsia="zh-CN"/>
        </w:rPr>
        <w:t>（此为合同草案，在正式签订合同前，可调整、补充细节，原则上以此草案为准。）</w:t>
      </w:r>
    </w:p>
    <w:p>
      <w:pPr>
        <w:spacing w:line="360" w:lineRule="auto"/>
        <w:rPr>
          <w:rFonts w:hint="eastAsia" w:ascii="宋体" w:hAnsi="宋体" w:eastAsia="宋体"/>
          <w:color w:val="auto"/>
          <w:sz w:val="24"/>
          <w:highlight w:val="none"/>
          <w:lang w:eastAsia="zh-CN"/>
        </w:rPr>
      </w:pPr>
      <w:r>
        <w:rPr>
          <w:rFonts w:hint="eastAsia" w:ascii="宋体" w:hAnsi="宋体" w:eastAsia="宋体"/>
          <w:color w:val="auto"/>
          <w:sz w:val="24"/>
          <w:highlight w:val="none"/>
        </w:rPr>
        <w:t>采购人（甲方）：</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供应商（乙</w:t>
      </w:r>
      <w:r>
        <w:rPr>
          <w:rFonts w:ascii="宋体" w:hAnsi="宋体" w:eastAsia="宋体"/>
          <w:color w:val="auto"/>
          <w:sz w:val="24"/>
          <w:highlight w:val="none"/>
        </w:rPr>
        <w:t>方</w:t>
      </w:r>
      <w:r>
        <w:rPr>
          <w:rFonts w:hint="eastAsia" w:ascii="宋体" w:hAnsi="宋体" w:eastAsia="宋体"/>
          <w:color w:val="auto"/>
          <w:sz w:val="24"/>
          <w:highlight w:val="none"/>
        </w:rPr>
        <w:t>）</w:t>
      </w:r>
      <w:r>
        <w:rPr>
          <w:rFonts w:ascii="宋体" w:hAnsi="宋体" w:eastAsia="宋体"/>
          <w:color w:val="auto"/>
          <w:sz w:val="24"/>
          <w:highlight w:val="none"/>
        </w:rPr>
        <w:t xml:space="preserve">： </w:t>
      </w:r>
    </w:p>
    <w:p>
      <w:pPr>
        <w:spacing w:line="500" w:lineRule="exact"/>
        <w:rPr>
          <w:rFonts w:ascii="宋体" w:hAnsi="宋体" w:eastAsia="宋体"/>
          <w:color w:val="auto"/>
          <w:sz w:val="24"/>
          <w:highlight w:val="none"/>
        </w:rPr>
      </w:pP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 xml:space="preserve"> 根据《中华人民共和国</w:t>
      </w:r>
      <w:r>
        <w:rPr>
          <w:rFonts w:hint="eastAsia" w:ascii="宋体" w:hAnsi="宋体" w:eastAsia="宋体"/>
          <w:color w:val="auto"/>
          <w:sz w:val="24"/>
          <w:highlight w:val="none"/>
          <w:lang w:eastAsia="zh-CN"/>
        </w:rPr>
        <w:t>民法典</w:t>
      </w:r>
      <w:r>
        <w:rPr>
          <w:rFonts w:hint="eastAsia" w:ascii="宋体" w:hAnsi="宋体" w:eastAsia="宋体"/>
          <w:color w:val="auto"/>
          <w:sz w:val="24"/>
          <w:highlight w:val="none"/>
        </w:rPr>
        <w:t>》及XXXX采购项目（项目编号：</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pPr>
        <w:numPr>
          <w:ilvl w:val="0"/>
          <w:numId w:val="0"/>
        </w:numPr>
        <w:spacing w:line="360" w:lineRule="auto"/>
        <w:ind w:leftChars="0"/>
        <w:rPr>
          <w:rFonts w:hint="eastAsia" w:ascii="宋体" w:hAnsi="宋体" w:eastAsia="宋体" w:cs="宋体"/>
          <w:b/>
          <w:bCs/>
          <w:color w:val="auto"/>
          <w:sz w:val="24"/>
          <w:highlight w:val="none"/>
        </w:rPr>
      </w:pPr>
    </w:p>
    <w:p>
      <w:pPr>
        <w:numPr>
          <w:ilvl w:val="0"/>
          <w:numId w:val="5"/>
        </w:numPr>
        <w:spacing w:line="360" w:lineRule="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 xml:space="preserve"> 合同价款及明细</w:t>
      </w:r>
      <w:r>
        <w:rPr>
          <w:rFonts w:hint="eastAsia" w:ascii="宋体" w:hAnsi="宋体" w:cs="宋体"/>
          <w:b/>
          <w:bCs/>
          <w:color w:val="auto"/>
          <w:sz w:val="24"/>
          <w:highlight w:val="none"/>
          <w:lang w:eastAsia="zh-CN"/>
        </w:rPr>
        <w:t>；</w:t>
      </w:r>
    </w:p>
    <w:p>
      <w:pPr>
        <w:pStyle w:val="2"/>
        <w:rPr>
          <w:rFonts w:hint="eastAsia"/>
          <w:highlight w:val="none"/>
        </w:rPr>
      </w:pPr>
      <w:r>
        <w:rPr>
          <w:rFonts w:hint="default" w:ascii="Times New Roman" w:hAnsi="Times New Roman" w:eastAsia="宋体" w:cs="Times New Roman"/>
          <w:color w:val="auto"/>
          <w:kern w:val="2"/>
          <w:sz w:val="24"/>
          <w:szCs w:val="24"/>
          <w:highlight w:val="none"/>
          <w:lang w:val="en-US" w:eastAsia="zh-CN" w:bidi="ar-SA"/>
        </w:rPr>
        <w:t>合同</w:t>
      </w:r>
      <w:r>
        <w:rPr>
          <w:rFonts w:hint="eastAsia" w:ascii="Times New Roman" w:hAnsi="Times New Roman" w:eastAsia="宋体" w:cs="Times New Roman"/>
          <w:color w:val="auto"/>
          <w:kern w:val="2"/>
          <w:sz w:val="24"/>
          <w:szCs w:val="24"/>
          <w:highlight w:val="none"/>
          <w:lang w:val="en-US" w:eastAsia="zh-CN" w:bidi="ar-SA"/>
        </w:rPr>
        <w:t>价款：     元（含税，税率9%），</w:t>
      </w:r>
      <w:r>
        <w:rPr>
          <w:rFonts w:hint="default" w:ascii="Times New Roman" w:hAnsi="Times New Roman" w:eastAsia="宋体" w:cs="Times New Roman"/>
          <w:color w:val="auto"/>
          <w:kern w:val="2"/>
          <w:sz w:val="24"/>
          <w:szCs w:val="24"/>
          <w:highlight w:val="none"/>
          <w:lang w:val="en-US" w:eastAsia="zh-CN" w:bidi="ar-SA"/>
        </w:rPr>
        <w:t>采购数量</w:t>
      </w:r>
      <w:r>
        <w:rPr>
          <w:rFonts w:hint="default" w:ascii="Times New Roman" w:hAnsi="Times New Roman" w:eastAsia="宋体" w:cs="Times New Roman"/>
          <w:color w:val="auto"/>
          <w:sz w:val="24"/>
          <w:highlight w:val="none"/>
          <w:lang w:val="en-US" w:eastAsia="zh-CN"/>
        </w:rPr>
        <w:t>按照实际交付的数量结算</w:t>
      </w:r>
      <w:r>
        <w:rPr>
          <w:rFonts w:hint="eastAsia" w:ascii="Times New Roman" w:hAnsi="Times New Roman" w:eastAsia="宋体" w:cs="Times New Roman"/>
          <w:color w:val="auto"/>
          <w:sz w:val="24"/>
          <w:highlight w:val="none"/>
          <w:lang w:val="en-US" w:eastAsia="zh-CN"/>
        </w:rPr>
        <w:t>，具体内容详下表</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最终结算不超过16万元，如超过16万元，超出部分出乙方承担。</w:t>
      </w:r>
    </w:p>
    <w:tbl>
      <w:tblPr>
        <w:tblStyle w:val="17"/>
        <w:tblpPr w:leftFromText="180" w:rightFromText="180" w:vertAnchor="text" w:horzAnchor="page" w:tblpX="1627" w:tblpY="1005"/>
        <w:tblOverlap w:val="never"/>
        <w:tblW w:w="5444" w:type="pct"/>
        <w:tblInd w:w="0" w:type="dxa"/>
        <w:tblLayout w:type="fixed"/>
        <w:tblCellMar>
          <w:top w:w="0" w:type="dxa"/>
          <w:left w:w="108" w:type="dxa"/>
          <w:bottom w:w="0" w:type="dxa"/>
          <w:right w:w="108" w:type="dxa"/>
        </w:tblCellMar>
      </w:tblPr>
      <w:tblGrid>
        <w:gridCol w:w="670"/>
        <w:gridCol w:w="1200"/>
        <w:gridCol w:w="1845"/>
        <w:gridCol w:w="716"/>
        <w:gridCol w:w="1025"/>
        <w:gridCol w:w="937"/>
        <w:gridCol w:w="967"/>
        <w:gridCol w:w="1920"/>
      </w:tblGrid>
      <w:tr>
        <w:tblPrEx>
          <w:tblCellMar>
            <w:top w:w="0" w:type="dxa"/>
            <w:left w:w="108" w:type="dxa"/>
            <w:bottom w:w="0" w:type="dxa"/>
            <w:right w:w="108" w:type="dxa"/>
          </w:tblCellMar>
        </w:tblPrEx>
        <w:trPr>
          <w:trHeight w:val="1442"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序号</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eastAsia="zh-CN"/>
              </w:rPr>
              <w:t>项目</w:t>
            </w:r>
            <w:r>
              <w:rPr>
                <w:rFonts w:hint="eastAsia"/>
                <w:color w:val="auto"/>
                <w:sz w:val="24"/>
                <w:szCs w:val="24"/>
                <w:highlight w:val="none"/>
                <w:lang w:val="en-US"/>
              </w:rPr>
              <w:t>名称</w:t>
            </w:r>
          </w:p>
        </w:tc>
        <w:tc>
          <w:tcPr>
            <w:tcW w:w="9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项目特征</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单位</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暂定</w:t>
            </w:r>
          </w:p>
          <w:p>
            <w:pPr>
              <w:widowControl/>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工程量</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含税投标单价（元）</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1"/>
                <w:szCs w:val="21"/>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含税投标总价（元）</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720" w:firstLineChars="300"/>
              <w:jc w:val="both"/>
              <w:textAlignment w:val="center"/>
              <w:rPr>
                <w:rFonts w:hint="eastAsia" w:eastAsia="宋体"/>
                <w:color w:val="auto"/>
                <w:sz w:val="21"/>
                <w:szCs w:val="21"/>
                <w:highlight w:val="none"/>
                <w:lang w:val="en-US" w:eastAsia="zh-CN"/>
              </w:rPr>
            </w:pPr>
            <w:r>
              <w:rPr>
                <w:rFonts w:hint="eastAsia" w:eastAsia="宋体"/>
                <w:color w:val="auto"/>
                <w:sz w:val="24"/>
                <w:szCs w:val="24"/>
                <w:highlight w:val="none"/>
                <w:lang w:val="en-US" w:eastAsia="zh-CN"/>
              </w:rPr>
              <w:t>备</w:t>
            </w:r>
            <w:r>
              <w:rPr>
                <w:rFonts w:hint="eastAsia"/>
                <w:color w:val="auto"/>
                <w:sz w:val="24"/>
                <w:szCs w:val="24"/>
                <w:highlight w:val="none"/>
                <w:lang w:val="en-US" w:eastAsia="zh-CN"/>
              </w:rPr>
              <w:t xml:space="preserve">  </w:t>
            </w:r>
            <w:r>
              <w:rPr>
                <w:rFonts w:hint="eastAsia" w:eastAsia="宋体"/>
                <w:color w:val="auto"/>
                <w:sz w:val="24"/>
                <w:szCs w:val="24"/>
                <w:highlight w:val="none"/>
                <w:lang w:val="en-US" w:eastAsia="zh-CN"/>
              </w:rPr>
              <w:t>注</w:t>
            </w:r>
          </w:p>
        </w:tc>
      </w:tr>
      <w:tr>
        <w:tblPrEx>
          <w:tblCellMar>
            <w:top w:w="0" w:type="dxa"/>
            <w:left w:w="108" w:type="dxa"/>
            <w:bottom w:w="0" w:type="dxa"/>
            <w:right w:w="108" w:type="dxa"/>
          </w:tblCellMar>
        </w:tblPrEx>
        <w:trPr>
          <w:trHeight w:val="306"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pPr>
              <w:rPr>
                <w:highlight w:val="none"/>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pPr>
              <w:rPr>
                <w:highlight w:val="none"/>
              </w:rPr>
            </w:pPr>
          </w:p>
        </w:tc>
        <w:tc>
          <w:tcPr>
            <w:tcW w:w="2957" w:type="pct"/>
            <w:gridSpan w:val="5"/>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p>
        </w:tc>
        <w:tc>
          <w:tcPr>
            <w:tcW w:w="1034" w:type="pct"/>
            <w:tcBorders>
              <w:top w:val="single" w:color="000000" w:sz="4" w:space="0"/>
              <w:left w:val="single" w:color="000000" w:sz="4" w:space="0"/>
              <w:bottom w:val="single" w:color="000000" w:sz="4" w:space="0"/>
              <w:right w:val="single" w:color="000000" w:sz="4" w:space="0"/>
            </w:tcBorders>
            <w:noWrap/>
            <w:vAlign w:val="center"/>
          </w:tcPr>
          <w:p>
            <w:pPr>
              <w:rPr>
                <w:highlight w:val="none"/>
              </w:rPr>
            </w:pPr>
          </w:p>
        </w:tc>
      </w:tr>
      <w:tr>
        <w:tblPrEx>
          <w:tblCellMar>
            <w:top w:w="0" w:type="dxa"/>
            <w:left w:w="108" w:type="dxa"/>
            <w:bottom w:w="0" w:type="dxa"/>
            <w:right w:w="108" w:type="dxa"/>
          </w:tblCellMar>
        </w:tblPrEx>
        <w:trPr>
          <w:trHeight w:val="1849"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ind w:left="0" w:firstLine="0" w:firstLineChars="0"/>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检测出第一个漏点位置</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firstLine="0" w:firstLineChars="0"/>
              <w:jc w:val="center"/>
              <w:textAlignment w:val="center"/>
              <w:rPr>
                <w:rFonts w:hint="eastAsia" w:eastAsia="宋体"/>
                <w:color w:val="auto"/>
                <w:sz w:val="21"/>
                <w:szCs w:val="21"/>
                <w:highlight w:val="none"/>
                <w:lang w:eastAsia="zh-CN"/>
              </w:rPr>
            </w:pPr>
            <w:r>
              <w:rPr>
                <w:rFonts w:hint="eastAsia"/>
                <w:color w:val="auto"/>
                <w:sz w:val="21"/>
                <w:szCs w:val="21"/>
                <w:highlight w:val="none"/>
                <w:lang w:val="en-US" w:eastAsia="zh-CN"/>
              </w:rPr>
              <w:t>对漏水点位置精准定位，以开挖后管道漏水点喷射状态为准。</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color w:val="auto"/>
                <w:sz w:val="21"/>
                <w:szCs w:val="21"/>
                <w:highlight w:val="none"/>
                <w:lang w:val="en-US" w:eastAsia="zh-CN"/>
              </w:rPr>
            </w:pPr>
            <w:r>
              <w:rPr>
                <w:rFonts w:hint="eastAsia"/>
                <w:color w:val="auto"/>
                <w:sz w:val="21"/>
                <w:szCs w:val="21"/>
                <w:highlight w:val="none"/>
                <w:lang w:val="en-US" w:eastAsia="zh-CN"/>
              </w:rPr>
              <w:t>漏点</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仅适用于管道开挖后发现漏点的情况；若开挖后检测确认管道无漏水，施工方须对开挖部位按原样修复，产生的所有费用由施工方自行负责。</w:t>
            </w:r>
          </w:p>
        </w:tc>
      </w:tr>
      <w:tr>
        <w:tblPrEx>
          <w:tblCellMar>
            <w:top w:w="0" w:type="dxa"/>
            <w:left w:w="108" w:type="dxa"/>
            <w:bottom w:w="0" w:type="dxa"/>
            <w:right w:w="108" w:type="dxa"/>
          </w:tblCellMar>
        </w:tblPrEx>
        <w:trPr>
          <w:trHeight w:val="1894"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检测出第二个及以上漏点位置</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eastAsia="宋体"/>
                <w:color w:val="auto"/>
                <w:sz w:val="21"/>
                <w:szCs w:val="21"/>
                <w:highlight w:val="none"/>
                <w:lang w:eastAsia="zh-CN"/>
              </w:rPr>
            </w:pPr>
            <w:r>
              <w:rPr>
                <w:rFonts w:hint="eastAsia"/>
                <w:color w:val="auto"/>
                <w:sz w:val="21"/>
                <w:szCs w:val="21"/>
                <w:highlight w:val="none"/>
                <w:lang w:val="en-US" w:eastAsia="zh-CN"/>
              </w:rPr>
              <w:t>对漏水点位置精准定位，以开挖后管道漏水点喷射状态为准。</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pStyle w:val="3"/>
              <w:rPr>
                <w:rFonts w:hint="default"/>
                <w:color w:val="auto"/>
                <w:sz w:val="21"/>
                <w:szCs w:val="21"/>
                <w:highlight w:val="none"/>
                <w:lang w:val="en-US" w:eastAsia="zh-CN"/>
              </w:rPr>
            </w:pPr>
            <w:r>
              <w:rPr>
                <w:rFonts w:hint="eastAsia"/>
                <w:color w:val="auto"/>
                <w:sz w:val="21"/>
                <w:szCs w:val="21"/>
                <w:highlight w:val="none"/>
                <w:lang w:val="en-US" w:eastAsia="zh-CN"/>
              </w:rPr>
              <w:t xml:space="preserve"> 漏点</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pStyle w:val="3"/>
              <w:ind w:firstLine="210" w:firstLineChars="100"/>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pStyle w:val="3"/>
              <w:ind w:firstLine="210" w:firstLineChars="100"/>
              <w:rPr>
                <w:rFonts w:hint="default"/>
                <w:color w:val="auto"/>
                <w:sz w:val="21"/>
                <w:szCs w:val="21"/>
                <w:highlight w:val="none"/>
                <w:lang w:val="en-US" w:eastAsia="zh-CN"/>
              </w:rPr>
            </w:pP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仅适用于管道开挖后发现漏点的情况；若开挖后检测确认管道无漏水，施工方须对开挖部位按原样修复，产生的所有费用由施工方自行负责。</w:t>
            </w:r>
          </w:p>
        </w:tc>
      </w:tr>
      <w:tr>
        <w:tblPrEx>
          <w:tblCellMar>
            <w:top w:w="0" w:type="dxa"/>
            <w:left w:w="108" w:type="dxa"/>
            <w:bottom w:w="0" w:type="dxa"/>
            <w:right w:w="108" w:type="dxa"/>
          </w:tblCellMar>
        </w:tblPrEx>
        <w:trPr>
          <w:trHeight w:val="112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管道开挖一</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color w:val="auto"/>
                <w:sz w:val="21"/>
                <w:szCs w:val="21"/>
                <w:highlight w:val="none"/>
                <w:lang w:val="en-US" w:eastAsia="zh-CN"/>
              </w:rPr>
            </w:pPr>
            <w:r>
              <w:rPr>
                <w:rFonts w:hint="eastAsia"/>
                <w:color w:val="auto"/>
                <w:sz w:val="21"/>
                <w:szCs w:val="21"/>
                <w:highlight w:val="none"/>
                <w:lang w:val="en-US" w:eastAsia="zh-CN"/>
              </w:rPr>
              <w:t>漏水点位开挖，含所有地面（除绿化带，深度不限、宽度不限），包括人工、机械、措施、运输等。</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处</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仅适用于检测出有漏点位置的管道开挖。</w:t>
            </w:r>
          </w:p>
        </w:tc>
      </w:tr>
      <w:tr>
        <w:tblPrEx>
          <w:tblCellMar>
            <w:top w:w="0" w:type="dxa"/>
            <w:left w:w="108" w:type="dxa"/>
            <w:bottom w:w="0" w:type="dxa"/>
            <w:right w:w="108" w:type="dxa"/>
          </w:tblCellMar>
        </w:tblPrEx>
        <w:trPr>
          <w:trHeight w:val="25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管道开挖二</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color w:val="auto"/>
                <w:sz w:val="21"/>
                <w:szCs w:val="21"/>
                <w:highlight w:val="none"/>
                <w:lang w:val="en-US" w:eastAsia="zh-CN"/>
              </w:rPr>
            </w:pPr>
            <w:r>
              <w:rPr>
                <w:rFonts w:hint="eastAsia"/>
                <w:color w:val="auto"/>
                <w:sz w:val="21"/>
                <w:szCs w:val="21"/>
                <w:highlight w:val="none"/>
                <w:lang w:val="en-US" w:eastAsia="zh-CN"/>
              </w:rPr>
              <w:t>漏水点位开挖，含所有绿化带（深度不限、宽度不限）。开挖方式根据发包人意见执行，包括人工、机械、措施、运输等。</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处</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仅适用于检测出有漏点位置的管道开挖。</w:t>
            </w:r>
          </w:p>
        </w:tc>
      </w:tr>
      <w:tr>
        <w:tblPrEx>
          <w:tblCellMar>
            <w:top w:w="0" w:type="dxa"/>
            <w:left w:w="108" w:type="dxa"/>
            <w:bottom w:w="0" w:type="dxa"/>
            <w:right w:w="108" w:type="dxa"/>
          </w:tblCellMar>
        </w:tblPrEx>
        <w:trPr>
          <w:trHeight w:val="1581"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5</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ind w:left="210" w:hanging="210" w:hangingChars="100"/>
              <w:jc w:val="both"/>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管道漏点修复一</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eastAsia="zh-CN"/>
              </w:rPr>
              <w:t>管径</w:t>
            </w:r>
            <w:r>
              <w:rPr>
                <w:rFonts w:hint="eastAsia"/>
                <w:color w:val="auto"/>
                <w:sz w:val="21"/>
                <w:szCs w:val="21"/>
                <w:highlight w:val="none"/>
                <w:lang w:val="en-US" w:eastAsia="zh-CN"/>
              </w:rPr>
              <w:t>DN315及以上，含DN315型号，修复方式电熔焊接，含材料、机械、人工等。</w:t>
            </w:r>
          </w:p>
        </w:tc>
        <w:tc>
          <w:tcPr>
            <w:tcW w:w="3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处</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7</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s="宋体"/>
                <w:color w:val="000000" w:themeColor="text1"/>
                <w:sz w:val="21"/>
                <w:szCs w:val="21"/>
                <w:highlight w:val="none"/>
                <w:lang w:val="en-US" w:eastAsia="zh-CN"/>
                <w14:textFill>
                  <w14:solidFill>
                    <w14:schemeClr w14:val="tx1"/>
                  </w14:solidFill>
                </w14:textFill>
              </w:rPr>
            </w:pPr>
          </w:p>
        </w:tc>
        <w:tc>
          <w:tcPr>
            <w:tcW w:w="52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1149" w:hRule="atLeast"/>
        </w:trPr>
        <w:tc>
          <w:tcPr>
            <w:tcW w:w="360"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6</w:t>
            </w:r>
          </w:p>
        </w:tc>
        <w:tc>
          <w:tcPr>
            <w:tcW w:w="646" w:type="pct"/>
            <w:tcBorders>
              <w:top w:val="single" w:color="000000" w:sz="4" w:space="0"/>
              <w:left w:val="single" w:color="000000" w:sz="4" w:space="0"/>
              <w:bottom w:val="single" w:color="auto" w:sz="4" w:space="0"/>
              <w:right w:val="single" w:color="000000" w:sz="4" w:space="0"/>
            </w:tcBorders>
            <w:noWrap/>
            <w:vAlign w:val="center"/>
          </w:tcPr>
          <w:p>
            <w:pPr>
              <w:widowControl/>
              <w:ind w:left="210" w:hanging="210" w:hangingChars="100"/>
              <w:jc w:val="both"/>
              <w:textAlignment w:val="center"/>
              <w:rPr>
                <w:rFonts w:hint="eastAsia" w:eastAsia="宋体"/>
                <w:color w:val="auto"/>
                <w:sz w:val="21"/>
                <w:szCs w:val="21"/>
                <w:highlight w:val="none"/>
                <w:lang w:eastAsia="zh-CN"/>
              </w:rPr>
            </w:pPr>
            <w:r>
              <w:rPr>
                <w:rFonts w:hint="eastAsia"/>
                <w:color w:val="auto"/>
                <w:sz w:val="21"/>
                <w:szCs w:val="21"/>
                <w:highlight w:val="none"/>
                <w:lang w:eastAsia="zh-CN"/>
              </w:rPr>
              <w:t>管道漏点修复二</w:t>
            </w:r>
          </w:p>
        </w:tc>
        <w:tc>
          <w:tcPr>
            <w:tcW w:w="994"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1"/>
                <w:szCs w:val="21"/>
                <w:highlight w:val="none"/>
                <w:lang w:eastAsia="zh-CN"/>
              </w:rPr>
            </w:pPr>
            <w:r>
              <w:rPr>
                <w:rFonts w:hint="eastAsia" w:ascii="宋体" w:hAnsi="宋体" w:cs="宋体"/>
                <w:color w:val="000000" w:themeColor="text1"/>
                <w:sz w:val="21"/>
                <w:szCs w:val="21"/>
                <w:highlight w:val="none"/>
                <w:lang w:eastAsia="zh-CN"/>
                <w14:textFill>
                  <w14:solidFill>
                    <w14:schemeClr w14:val="tx1"/>
                  </w14:solidFill>
                </w14:textFill>
              </w:rPr>
              <w:t>管径</w:t>
            </w:r>
            <w:r>
              <w:rPr>
                <w:rFonts w:hint="eastAsia" w:ascii="宋体" w:hAnsi="宋体" w:cs="宋体"/>
                <w:color w:val="000000" w:themeColor="text1"/>
                <w:sz w:val="21"/>
                <w:szCs w:val="21"/>
                <w:highlight w:val="none"/>
                <w:lang w:val="en-US" w:eastAsia="zh-CN"/>
                <w14:textFill>
                  <w14:solidFill>
                    <w14:schemeClr w14:val="tx1"/>
                  </w14:solidFill>
                </w14:textFill>
              </w:rPr>
              <w:t>DN200型号，修复方式电熔焊接，含材料、机械、人工等。</w:t>
            </w:r>
          </w:p>
        </w:tc>
        <w:tc>
          <w:tcPr>
            <w:tcW w:w="385"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lang w:eastAsia="zh-CN"/>
              </w:rPr>
              <w:t>处</w:t>
            </w:r>
          </w:p>
        </w:tc>
        <w:tc>
          <w:tcPr>
            <w:tcW w:w="552"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c>
          <w:tcPr>
            <w:tcW w:w="504"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cs="宋体"/>
                <w:color w:val="000000" w:themeColor="text1"/>
                <w:sz w:val="21"/>
                <w:szCs w:val="21"/>
                <w:highlight w:val="none"/>
                <w:lang w:val="en-US" w:eastAsia="zh-CN"/>
                <w14:textFill>
                  <w14:solidFill>
                    <w14:schemeClr w14:val="tx1"/>
                  </w14:solidFill>
                </w14:textFill>
              </w:rPr>
            </w:pPr>
          </w:p>
        </w:tc>
        <w:tc>
          <w:tcPr>
            <w:tcW w:w="521"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1506"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7</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eastAsia="zh-CN"/>
              </w:rPr>
              <w:t>管道漏点修复三</w:t>
            </w:r>
          </w:p>
        </w:tc>
        <w:tc>
          <w:tcPr>
            <w:tcW w:w="99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eastAsia="zh-CN"/>
              </w:rPr>
              <w:t>管径</w:t>
            </w:r>
            <w:r>
              <w:rPr>
                <w:rFonts w:hint="eastAsia"/>
                <w:color w:val="auto"/>
                <w:sz w:val="21"/>
                <w:szCs w:val="21"/>
                <w:highlight w:val="none"/>
                <w:lang w:val="en-US" w:eastAsia="zh-CN"/>
              </w:rPr>
              <w:t>DN110以下（含110），修复方式电熔焊接或热熔焊接，含材料、机械、人工等。</w:t>
            </w:r>
          </w:p>
        </w:tc>
        <w:tc>
          <w:tcPr>
            <w:tcW w:w="3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处</w:t>
            </w:r>
          </w:p>
        </w:tc>
        <w:tc>
          <w:tcPr>
            <w:tcW w:w="55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50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s="宋体"/>
                <w:color w:val="000000" w:themeColor="text1"/>
                <w:sz w:val="21"/>
                <w:szCs w:val="21"/>
                <w:highlight w:val="none"/>
                <w:lang w:val="en-US" w:eastAsia="zh-CN"/>
                <w14:textFill>
                  <w14:solidFill>
                    <w14:schemeClr w14:val="tx1"/>
                  </w14:solidFill>
                </w14:textFill>
              </w:rPr>
            </w:pPr>
          </w:p>
        </w:tc>
        <w:tc>
          <w:tcPr>
            <w:tcW w:w="52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2006" w:hRule="atLeast"/>
        </w:trPr>
        <w:tc>
          <w:tcPr>
            <w:tcW w:w="36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w:t>
            </w:r>
          </w:p>
        </w:tc>
        <w:tc>
          <w:tcPr>
            <w:tcW w:w="646"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eastAsia="zh-CN"/>
              </w:rPr>
              <w:t>地面恢复</w:t>
            </w:r>
          </w:p>
        </w:tc>
        <w:tc>
          <w:tcPr>
            <w:tcW w:w="994"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val="en-US" w:eastAsia="zh-CN"/>
              </w:rPr>
              <w:t>按原开挖时结构层及面层材料原样恢复，包括人材机、建渣外运和弃置、路面冲洗。（不按分项工程量计算，按处计算）。</w:t>
            </w:r>
          </w:p>
        </w:tc>
        <w:tc>
          <w:tcPr>
            <w:tcW w:w="385"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处</w:t>
            </w:r>
          </w:p>
        </w:tc>
        <w:tc>
          <w:tcPr>
            <w:tcW w:w="552"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504"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highlight w:val="none"/>
                <w:lang w:val="en-US" w:eastAsia="zh-CN"/>
              </w:rPr>
            </w:pPr>
          </w:p>
        </w:tc>
        <w:tc>
          <w:tcPr>
            <w:tcW w:w="521"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2403"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eastAsia="zh-CN"/>
              </w:rPr>
              <w:t>绿化带内</w:t>
            </w:r>
          </w:p>
        </w:tc>
        <w:tc>
          <w:tcPr>
            <w:tcW w:w="99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1"/>
                <w:szCs w:val="21"/>
                <w:highlight w:val="none"/>
                <w:lang w:eastAsia="zh-CN"/>
              </w:rPr>
            </w:pPr>
            <w:r>
              <w:rPr>
                <w:rFonts w:hint="eastAsia"/>
                <w:color w:val="auto"/>
                <w:sz w:val="21"/>
                <w:szCs w:val="21"/>
                <w:highlight w:val="none"/>
                <w:lang w:val="en-US" w:eastAsia="zh-CN"/>
              </w:rPr>
              <w:t>坑道回填、平场、绿植原样恢复，包括：补栽苗木为成活苗，栽种好后浇一次浸透水、人工、机械等，不按分项工程量计算，按处计算）。</w:t>
            </w:r>
          </w:p>
        </w:tc>
        <w:tc>
          <w:tcPr>
            <w:tcW w:w="3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处</w:t>
            </w:r>
          </w:p>
        </w:tc>
        <w:tc>
          <w:tcPr>
            <w:tcW w:w="55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50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highlight w:val="none"/>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highlight w:val="none"/>
                <w:lang w:val="en-US" w:eastAsia="zh-CN"/>
              </w:rPr>
            </w:pPr>
          </w:p>
        </w:tc>
        <w:tc>
          <w:tcPr>
            <w:tcW w:w="103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仅适用于检测出有漏点位置的管道修复。</w:t>
            </w:r>
          </w:p>
        </w:tc>
      </w:tr>
      <w:tr>
        <w:tblPrEx>
          <w:tblCellMar>
            <w:top w:w="0" w:type="dxa"/>
            <w:left w:w="108" w:type="dxa"/>
            <w:bottom w:w="0" w:type="dxa"/>
            <w:right w:w="108" w:type="dxa"/>
          </w:tblCellMar>
        </w:tblPrEx>
        <w:trPr>
          <w:trHeight w:val="481" w:hRule="atLeast"/>
        </w:trPr>
        <w:tc>
          <w:tcPr>
            <w:tcW w:w="36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合计：</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eastAsia="zh-CN"/>
              </w:rPr>
            </w:pPr>
          </w:p>
        </w:tc>
        <w:tc>
          <w:tcPr>
            <w:tcW w:w="99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1"/>
                <w:szCs w:val="21"/>
                <w:highlight w:val="none"/>
                <w:lang w:val="en-US" w:eastAsia="zh-CN"/>
              </w:rPr>
            </w:pPr>
          </w:p>
        </w:tc>
        <w:tc>
          <w:tcPr>
            <w:tcW w:w="3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p>
        </w:tc>
        <w:tc>
          <w:tcPr>
            <w:tcW w:w="55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p>
        </w:tc>
        <w:tc>
          <w:tcPr>
            <w:tcW w:w="50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eastAsia="宋体"/>
                <w:color w:val="auto"/>
                <w:sz w:val="21"/>
                <w:szCs w:val="21"/>
                <w:highlight w:val="none"/>
                <w:lang w:val="en-US" w:eastAsia="zh-CN"/>
              </w:rPr>
            </w:pPr>
          </w:p>
        </w:tc>
        <w:tc>
          <w:tcPr>
            <w:tcW w:w="103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highlight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firstLine="0" w:firstLineChars="0"/>
        <w:textAlignment w:val="auto"/>
        <w:outlineLvl w:val="1"/>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eastAsia" w:ascii="宋体" w:hAnsi="Times New Roman" w:eastAsia="宋体" w:cs="宋体"/>
          <w:i w:val="0"/>
          <w:iCs w:val="0"/>
          <w:color w:val="auto"/>
          <w:kern w:val="2"/>
          <w:sz w:val="24"/>
          <w:szCs w:val="24"/>
          <w:highlight w:val="none"/>
          <w:u w:val="none"/>
          <w:lang w:val="en-US" w:eastAsia="zh-CN" w:bidi="ar-SA"/>
        </w:rPr>
        <w:t>注:</w:t>
      </w:r>
      <w:r>
        <w:rPr>
          <w:rFonts w:hint="eastAsia" w:ascii="宋体" w:cs="宋体"/>
          <w:i w:val="0"/>
          <w:iCs w:val="0"/>
          <w:color w:val="auto"/>
          <w:kern w:val="2"/>
          <w:sz w:val="24"/>
          <w:szCs w:val="24"/>
          <w:highlight w:val="none"/>
          <w:u w:val="none"/>
          <w:lang w:val="en-US" w:eastAsia="zh-CN" w:bidi="ar-SA"/>
        </w:rPr>
        <w:t xml:space="preserve"> </w:t>
      </w:r>
      <w:r>
        <w:rPr>
          <w:rFonts w:hint="eastAsia" w:ascii="宋体" w:hAnsi="Times New Roman" w:eastAsia="宋体" w:cs="宋体"/>
          <w:i w:val="0"/>
          <w:iCs w:val="0"/>
          <w:color w:val="auto"/>
          <w:kern w:val="2"/>
          <w:sz w:val="24"/>
          <w:szCs w:val="24"/>
          <w:highlight w:val="none"/>
          <w:u w:val="none"/>
          <w:lang w:val="en-US" w:eastAsia="zh-CN" w:bidi="ar-SA"/>
        </w:rPr>
        <w:t>1</w:t>
      </w:r>
      <w:r>
        <w:rPr>
          <w:rFonts w:hint="eastAsia" w:ascii="宋体" w:cs="宋体"/>
          <w:i w:val="0"/>
          <w:iCs w:val="0"/>
          <w:color w:val="auto"/>
          <w:kern w:val="2"/>
          <w:sz w:val="24"/>
          <w:szCs w:val="24"/>
          <w:highlight w:val="none"/>
          <w:u w:val="none"/>
          <w:lang w:val="en-US" w:eastAsia="zh-CN" w:bidi="ar-SA"/>
        </w:rPr>
        <w:t>.</w:t>
      </w:r>
      <w:r>
        <w:rPr>
          <w:rFonts w:hint="eastAsia"/>
          <w:color w:val="auto"/>
          <w:sz w:val="24"/>
          <w:szCs w:val="24"/>
          <w:highlight w:val="none"/>
          <w:lang w:val="en-US" w:eastAsia="zh-CN"/>
        </w:rPr>
        <w:t>以上</w:t>
      </w:r>
      <w:r>
        <w:rPr>
          <w:rFonts w:hint="eastAsia" w:ascii="宋体" w:hAnsi="宋体" w:eastAsia="宋体" w:cs="宋体"/>
          <w:i w:val="0"/>
          <w:iCs w:val="0"/>
          <w:color w:val="auto"/>
          <w:kern w:val="0"/>
          <w:sz w:val="24"/>
          <w:szCs w:val="24"/>
          <w:highlight w:val="none"/>
          <w:u w:val="none"/>
          <w:lang w:val="en-US" w:eastAsia="zh-CN" w:bidi="ar"/>
        </w:rPr>
        <w:t>含税投标单价</w:t>
      </w:r>
      <w:r>
        <w:rPr>
          <w:rFonts w:hint="eastAsia"/>
          <w:color w:val="auto"/>
          <w:sz w:val="24"/>
          <w:szCs w:val="24"/>
          <w:highlight w:val="none"/>
          <w:lang w:val="en-US" w:eastAsia="zh-CN"/>
        </w:rPr>
        <w:t>为全费用固定单价，</w:t>
      </w:r>
      <w:r>
        <w:rPr>
          <w:color w:val="auto"/>
          <w:sz w:val="24"/>
          <w:szCs w:val="24"/>
          <w:highlight w:val="none"/>
        </w:rPr>
        <w:t>即</w:t>
      </w:r>
      <w:r>
        <w:rPr>
          <w:color w:val="auto"/>
          <w:spacing w:val="4"/>
          <w:sz w:val="24"/>
          <w:szCs w:val="24"/>
          <w:highlight w:val="none"/>
        </w:rPr>
        <w:t>包</w:t>
      </w:r>
      <w:r>
        <w:rPr>
          <w:color w:val="auto"/>
          <w:sz w:val="24"/>
          <w:szCs w:val="24"/>
          <w:highlight w:val="none"/>
        </w:rPr>
        <w:t>括但</w:t>
      </w:r>
      <w:r>
        <w:rPr>
          <w:color w:val="auto"/>
          <w:spacing w:val="4"/>
          <w:sz w:val="24"/>
          <w:szCs w:val="24"/>
          <w:highlight w:val="none"/>
        </w:rPr>
        <w:t>不</w:t>
      </w:r>
      <w:r>
        <w:rPr>
          <w:color w:val="auto"/>
          <w:sz w:val="24"/>
          <w:szCs w:val="24"/>
          <w:highlight w:val="none"/>
        </w:rPr>
        <w:t>限于</w:t>
      </w:r>
      <w:r>
        <w:rPr>
          <w:rFonts w:hint="eastAsia"/>
          <w:color w:val="auto"/>
          <w:sz w:val="24"/>
          <w:szCs w:val="24"/>
          <w:highlight w:val="none"/>
          <w:lang w:val="en-US" w:eastAsia="zh-CN"/>
        </w:rPr>
        <w:t>机械进出场、</w:t>
      </w:r>
      <w:r>
        <w:rPr>
          <w:color w:val="auto"/>
          <w:spacing w:val="4"/>
          <w:sz w:val="24"/>
          <w:szCs w:val="24"/>
          <w:highlight w:val="none"/>
        </w:rPr>
        <w:t>材</w:t>
      </w:r>
      <w:r>
        <w:rPr>
          <w:color w:val="auto"/>
          <w:sz w:val="24"/>
          <w:szCs w:val="24"/>
          <w:highlight w:val="none"/>
        </w:rPr>
        <w:t>料费</w:t>
      </w:r>
      <w:r>
        <w:rPr>
          <w:color w:val="auto"/>
          <w:spacing w:val="-20"/>
          <w:sz w:val="24"/>
          <w:szCs w:val="24"/>
          <w:highlight w:val="none"/>
        </w:rPr>
        <w:t>、</w:t>
      </w:r>
      <w:r>
        <w:rPr>
          <w:color w:val="auto"/>
          <w:sz w:val="24"/>
          <w:szCs w:val="24"/>
          <w:highlight w:val="none"/>
        </w:rPr>
        <w:t>人</w:t>
      </w:r>
      <w:r>
        <w:rPr>
          <w:color w:val="auto"/>
          <w:spacing w:val="4"/>
          <w:sz w:val="24"/>
          <w:szCs w:val="24"/>
          <w:highlight w:val="none"/>
        </w:rPr>
        <w:t>工</w:t>
      </w:r>
      <w:r>
        <w:rPr>
          <w:color w:val="auto"/>
          <w:sz w:val="24"/>
          <w:szCs w:val="24"/>
          <w:highlight w:val="none"/>
        </w:rPr>
        <w:t>费、</w:t>
      </w:r>
      <w:r>
        <w:rPr>
          <w:rFonts w:hint="eastAsia"/>
          <w:color w:val="auto"/>
          <w:sz w:val="24"/>
          <w:szCs w:val="24"/>
          <w:highlight w:val="none"/>
          <w:lang w:val="en-US" w:eastAsia="zh-CN"/>
        </w:rPr>
        <w:t>机</w:t>
      </w:r>
      <w:r>
        <w:rPr>
          <w:rFonts w:hint="default" w:ascii="Times New Roman" w:hAnsi="Times New Roman" w:eastAsia="宋体" w:cs="Times New Roman"/>
          <w:color w:val="auto"/>
          <w:sz w:val="24"/>
          <w:szCs w:val="24"/>
          <w:highlight w:val="none"/>
          <w:lang w:val="en-US" w:eastAsia="zh-CN"/>
        </w:rPr>
        <w:t>械费、措施费、养护费、</w:t>
      </w:r>
      <w:r>
        <w:rPr>
          <w:rFonts w:ascii="Times New Roman" w:hAnsi="Times New Roman" w:eastAsia="宋体" w:cs="Times New Roman"/>
          <w:color w:val="auto"/>
          <w:sz w:val="24"/>
          <w:szCs w:val="24"/>
          <w:highlight w:val="none"/>
        </w:rPr>
        <w:t>运</w:t>
      </w:r>
      <w:r>
        <w:rPr>
          <w:rFonts w:ascii="Times New Roman" w:hAnsi="Times New Roman" w:eastAsia="宋体" w:cs="Times New Roman"/>
          <w:color w:val="auto"/>
          <w:spacing w:val="0"/>
          <w:sz w:val="24"/>
          <w:szCs w:val="24"/>
          <w:highlight w:val="none"/>
        </w:rPr>
        <w:t>输</w:t>
      </w:r>
      <w:r>
        <w:rPr>
          <w:rFonts w:ascii="Times New Roman" w:hAnsi="Times New Roman" w:eastAsia="宋体" w:cs="Times New Roman"/>
          <w:color w:val="auto"/>
          <w:sz w:val="24"/>
          <w:szCs w:val="24"/>
          <w:highlight w:val="none"/>
        </w:rPr>
        <w:t>费、搬</w:t>
      </w:r>
      <w:r>
        <w:rPr>
          <w:rFonts w:ascii="Times New Roman" w:hAnsi="Times New Roman" w:eastAsia="宋体" w:cs="Times New Roman"/>
          <w:color w:val="auto"/>
          <w:spacing w:val="0"/>
          <w:sz w:val="24"/>
          <w:szCs w:val="24"/>
          <w:highlight w:val="none"/>
        </w:rPr>
        <w:t>运</w:t>
      </w:r>
      <w:r>
        <w:rPr>
          <w:rFonts w:ascii="Times New Roman" w:hAnsi="Times New Roman" w:eastAsia="宋体" w:cs="Times New Roman"/>
          <w:color w:val="auto"/>
          <w:sz w:val="24"/>
          <w:szCs w:val="24"/>
          <w:highlight w:val="none"/>
        </w:rPr>
        <w:t>费、</w:t>
      </w:r>
      <w:r>
        <w:rPr>
          <w:rFonts w:hint="default" w:ascii="Times New Roman" w:hAnsi="Times New Roman" w:eastAsia="宋体" w:cs="Times New Roman"/>
          <w:color w:val="auto"/>
          <w:sz w:val="24"/>
          <w:szCs w:val="24"/>
          <w:highlight w:val="none"/>
          <w:lang w:val="en-US" w:eastAsia="zh-CN"/>
        </w:rPr>
        <w:t>上</w:t>
      </w:r>
      <w:r>
        <w:rPr>
          <w:rFonts w:ascii="Times New Roman" w:hAnsi="Times New Roman" w:eastAsia="宋体" w:cs="Times New Roman"/>
          <w:color w:val="auto"/>
          <w:sz w:val="24"/>
          <w:szCs w:val="24"/>
          <w:highlight w:val="none"/>
        </w:rPr>
        <w:t>下</w:t>
      </w:r>
      <w:r>
        <w:rPr>
          <w:rFonts w:ascii="Times New Roman" w:hAnsi="Times New Roman" w:eastAsia="宋体" w:cs="Times New Roman"/>
          <w:color w:val="auto"/>
          <w:spacing w:val="0"/>
          <w:sz w:val="24"/>
          <w:szCs w:val="24"/>
          <w:highlight w:val="none"/>
        </w:rPr>
        <w:t>车</w:t>
      </w:r>
      <w:r>
        <w:rPr>
          <w:rFonts w:ascii="Times New Roman" w:hAnsi="Times New Roman" w:eastAsia="宋体" w:cs="Times New Roman"/>
          <w:color w:val="auto"/>
          <w:sz w:val="24"/>
          <w:szCs w:val="24"/>
          <w:highlight w:val="none"/>
        </w:rPr>
        <w:t>费</w:t>
      </w:r>
      <w:r>
        <w:rPr>
          <w:rFonts w:ascii="Times New Roman" w:hAnsi="Times New Roman" w:eastAsia="宋体" w:cs="Times New Roman"/>
          <w:color w:val="auto"/>
          <w:spacing w:val="0"/>
          <w:sz w:val="24"/>
          <w:szCs w:val="24"/>
          <w:highlight w:val="none"/>
        </w:rPr>
        <w:t>、</w:t>
      </w:r>
      <w:r>
        <w:rPr>
          <w:rFonts w:ascii="Times New Roman" w:hAnsi="Times New Roman" w:eastAsia="宋体" w:cs="Times New Roman"/>
          <w:color w:val="auto"/>
          <w:sz w:val="24"/>
          <w:szCs w:val="24"/>
          <w:highlight w:val="none"/>
        </w:rPr>
        <w:t>管</w:t>
      </w:r>
      <w:r>
        <w:rPr>
          <w:rFonts w:ascii="Times New Roman" w:hAnsi="Times New Roman" w:eastAsia="宋体" w:cs="Times New Roman"/>
          <w:color w:val="auto"/>
          <w:spacing w:val="0"/>
          <w:sz w:val="24"/>
          <w:szCs w:val="24"/>
          <w:highlight w:val="none"/>
        </w:rPr>
        <w:t>理</w:t>
      </w:r>
      <w:r>
        <w:rPr>
          <w:rFonts w:ascii="Times New Roman" w:hAnsi="Times New Roman" w:eastAsia="宋体" w:cs="Times New Roman"/>
          <w:color w:val="auto"/>
          <w:sz w:val="24"/>
          <w:szCs w:val="24"/>
          <w:highlight w:val="none"/>
        </w:rPr>
        <w:t>费、利润、税</w:t>
      </w:r>
      <w:r>
        <w:rPr>
          <w:rFonts w:ascii="Times New Roman" w:hAnsi="Times New Roman" w:eastAsia="宋体" w:cs="Times New Roman"/>
          <w:color w:val="auto"/>
          <w:spacing w:val="0"/>
          <w:sz w:val="24"/>
          <w:szCs w:val="24"/>
          <w:highlight w:val="none"/>
        </w:rPr>
        <w:t>金</w:t>
      </w:r>
      <w:r>
        <w:rPr>
          <w:rFonts w:ascii="Times New Roman" w:hAnsi="Times New Roman" w:eastAsia="宋体" w:cs="Times New Roman"/>
          <w:b w:val="0"/>
          <w:color w:val="auto"/>
          <w:spacing w:val="0"/>
          <w:sz w:val="24"/>
          <w:szCs w:val="24"/>
          <w:highlight w:val="none"/>
          <w:u w:val="none"/>
        </w:rPr>
        <w:t>（</w:t>
      </w:r>
      <w:r>
        <w:rPr>
          <w:rFonts w:hint="default" w:ascii="Times New Roman" w:hAnsi="Times New Roman" w:eastAsia="宋体" w:cs="Times New Roman"/>
          <w:b w:val="0"/>
          <w:color w:val="auto"/>
          <w:spacing w:val="0"/>
          <w:sz w:val="24"/>
          <w:szCs w:val="24"/>
          <w:highlight w:val="none"/>
          <w:u w:val="none"/>
          <w:lang w:val="en-US" w:eastAsia="zh-CN"/>
        </w:rPr>
        <w:t>9</w:t>
      </w:r>
      <w:r>
        <w:rPr>
          <w:rFonts w:hint="eastAsia" w:cs="Times New Roman"/>
          <w:b w:val="0"/>
          <w:color w:val="auto"/>
          <w:spacing w:val="0"/>
          <w:sz w:val="24"/>
          <w:szCs w:val="24"/>
          <w:highlight w:val="none"/>
          <w:u w:val="none"/>
          <w:lang w:val="en-US" w:eastAsia="zh-CN"/>
        </w:rPr>
        <w:t xml:space="preserve"> </w:t>
      </w:r>
      <w:r>
        <w:rPr>
          <w:rFonts w:ascii="Times New Roman" w:hAnsi="Times New Roman" w:eastAsia="宋体" w:cs="Times New Roman"/>
          <w:b w:val="0"/>
          <w:color w:val="auto"/>
          <w:sz w:val="24"/>
          <w:szCs w:val="24"/>
          <w:highlight w:val="none"/>
          <w:u w:val="none"/>
        </w:rPr>
        <w: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i w:val="0"/>
          <w:iCs w:val="0"/>
          <w:color w:val="auto"/>
          <w:kern w:val="2"/>
          <w:sz w:val="24"/>
          <w:szCs w:val="24"/>
          <w:highlight w:val="none"/>
          <w:u w:val="none"/>
          <w:lang w:val="en-US" w:eastAsia="zh-CN" w:bidi="ar-SA"/>
        </w:rPr>
        <w:t>验收合格交付使用之前及质保期内服务与备用物件等所有其他有关各项的含税费用；</w:t>
      </w: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firstLine="480" w:firstLineChars="200"/>
        <w:textAlignment w:val="auto"/>
        <w:outlineLvl w:val="1"/>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2"/>
          <w:sz w:val="24"/>
          <w:szCs w:val="24"/>
          <w:highlight w:val="none"/>
          <w:u w:val="none"/>
          <w:lang w:val="en-US" w:eastAsia="zh-CN" w:bidi="ar-SA"/>
        </w:rPr>
        <w:t>2</w:t>
      </w:r>
      <w:r>
        <w:rPr>
          <w:rFonts w:hint="eastAsia" w:cs="Times New Roman"/>
          <w:i w:val="0"/>
          <w:iCs w:val="0"/>
          <w:color w:val="auto"/>
          <w:kern w:val="2"/>
          <w:sz w:val="24"/>
          <w:szCs w:val="24"/>
          <w:highlight w:val="none"/>
          <w:u w:val="none"/>
          <w:lang w:val="en-US" w:eastAsia="zh-CN" w:bidi="ar-SA"/>
        </w:rPr>
        <w:t>.</w:t>
      </w:r>
      <w:r>
        <w:rPr>
          <w:rFonts w:hint="default" w:ascii="Times New Roman" w:hAnsi="Times New Roman" w:eastAsia="宋体" w:cs="Times New Roman"/>
          <w:i w:val="0"/>
          <w:iCs w:val="0"/>
          <w:color w:val="auto"/>
          <w:kern w:val="2"/>
          <w:sz w:val="24"/>
          <w:szCs w:val="24"/>
          <w:highlight w:val="none"/>
          <w:u w:val="none"/>
          <w:lang w:val="en-US" w:eastAsia="zh-CN" w:bidi="ar-SA"/>
        </w:rPr>
        <w:t>修复/恢复的材料须不低于原材料的规格型号，质量</w:t>
      </w:r>
      <w:r>
        <w:rPr>
          <w:rFonts w:hint="eastAsia" w:ascii="Times New Roman" w:hAnsi="Times New Roman" w:eastAsia="宋体" w:cs="Times New Roman"/>
          <w:color w:val="auto"/>
          <w:kern w:val="2"/>
          <w:sz w:val="24"/>
          <w:szCs w:val="24"/>
          <w:highlight w:val="none"/>
          <w:lang w:val="en-US" w:eastAsia="zh-CN" w:bidi="ar-SA"/>
        </w:rPr>
        <w:t>符合国家现行工程施工质量验收规范合格标准</w:t>
      </w:r>
      <w:r>
        <w:rPr>
          <w:rFonts w:hint="default" w:ascii="Times New Roman" w:hAnsi="Times New Roman" w:eastAsia="宋体" w:cs="Times New Roman"/>
          <w:color w:val="auto"/>
          <w:kern w:val="2"/>
          <w:sz w:val="24"/>
          <w:szCs w:val="24"/>
          <w:highlight w:val="none"/>
          <w:lang w:val="en-US" w:eastAsia="zh-CN" w:bidi="ar-SA"/>
        </w:rPr>
        <w:t>；</w:t>
      </w:r>
    </w:p>
    <w:p>
      <w:pPr>
        <w:numPr>
          <w:ilvl w:val="0"/>
          <w:numId w:val="0"/>
        </w:numPr>
        <w:spacing w:line="534" w:lineRule="exact"/>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cs="Times New Roman"/>
          <w:color w:val="auto"/>
          <w:kern w:val="2"/>
          <w:sz w:val="24"/>
          <w:szCs w:val="24"/>
          <w:highlight w:val="none"/>
          <w:lang w:val="en-US" w:eastAsia="zh-CN" w:bidi="ar-SA"/>
        </w:rPr>
        <w:t>3</w:t>
      </w:r>
      <w:r>
        <w:rPr>
          <w:rFonts w:hint="eastAsia"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报价表内的</w:t>
      </w:r>
      <w:r>
        <w:rPr>
          <w:rFonts w:hint="default" w:cs="Times New Roman"/>
          <w:color w:val="auto"/>
          <w:kern w:val="2"/>
          <w:sz w:val="24"/>
          <w:szCs w:val="24"/>
          <w:highlight w:val="none"/>
          <w:lang w:val="en-US" w:eastAsia="zh-CN" w:bidi="ar-SA"/>
        </w:rPr>
        <w:t>投标报价</w:t>
      </w:r>
      <w:r>
        <w:rPr>
          <w:rFonts w:ascii="Times New Roman" w:hAnsi="Times New Roman" w:eastAsia="宋体" w:cs="Times New Roman"/>
          <w:color w:val="auto"/>
          <w:kern w:val="2"/>
          <w:sz w:val="24"/>
          <w:szCs w:val="24"/>
          <w:highlight w:val="none"/>
          <w:lang w:val="en-US" w:eastAsia="zh-CN" w:bidi="ar-SA"/>
        </w:rPr>
        <w:t>不</w:t>
      </w:r>
      <w:r>
        <w:rPr>
          <w:rFonts w:hint="default" w:cs="Times New Roman"/>
          <w:color w:val="auto"/>
          <w:kern w:val="2"/>
          <w:sz w:val="24"/>
          <w:szCs w:val="24"/>
          <w:highlight w:val="none"/>
          <w:lang w:val="en-US" w:eastAsia="zh-CN" w:bidi="ar-SA"/>
        </w:rPr>
        <w:t>得</w:t>
      </w:r>
      <w:r>
        <w:rPr>
          <w:rFonts w:ascii="Times New Roman" w:hAnsi="Times New Roman" w:eastAsia="宋体" w:cs="Times New Roman"/>
          <w:color w:val="auto"/>
          <w:kern w:val="2"/>
          <w:sz w:val="24"/>
          <w:szCs w:val="24"/>
          <w:highlight w:val="none"/>
          <w:lang w:val="en-US" w:eastAsia="zh-CN" w:bidi="ar-SA"/>
        </w:rPr>
        <w:t>超过最高单价，</w:t>
      </w:r>
      <w:r>
        <w:rPr>
          <w:rFonts w:hint="default" w:ascii="Times New Roman" w:hAnsi="Times New Roman" w:eastAsia="宋体" w:cs="Times New Roman"/>
          <w:color w:val="auto"/>
          <w:kern w:val="2"/>
          <w:sz w:val="24"/>
          <w:szCs w:val="24"/>
          <w:highlight w:val="none"/>
          <w:lang w:val="en-US" w:eastAsia="zh-CN" w:bidi="ar-SA"/>
        </w:rPr>
        <w:t>否则报价无效。</w:t>
      </w:r>
      <w:r>
        <w:rPr>
          <w:rFonts w:ascii="Times New Roman" w:hAnsi="Times New Roman" w:eastAsia="宋体" w:cs="Times New Roman"/>
          <w:color w:val="auto"/>
          <w:kern w:val="2"/>
          <w:sz w:val="24"/>
          <w:szCs w:val="24"/>
          <w:highlight w:val="none"/>
          <w:lang w:val="en-US" w:eastAsia="zh-CN" w:bidi="ar-SA"/>
        </w:rPr>
        <w:t>采购数量按实际交付数量结算。</w:t>
      </w:r>
    </w:p>
    <w:p>
      <w:pPr>
        <w:numPr>
          <w:ilvl w:val="0"/>
          <w:numId w:val="0"/>
        </w:numPr>
        <w:spacing w:line="534" w:lineRule="exact"/>
        <w:ind w:firstLine="480" w:firstLineChars="200"/>
        <w:jc w:val="left"/>
        <w:outlineLvl w:val="1"/>
        <w:rPr>
          <w:rFonts w:hint="default"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4</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本表数量为暂定</w:t>
      </w:r>
      <w:r>
        <w:rPr>
          <w:rFonts w:hint="default" w:ascii="Times New Roman" w:hAnsi="Times New Roman" w:eastAsia="宋体" w:cs="Times New Roman"/>
          <w:color w:val="auto"/>
          <w:sz w:val="24"/>
          <w:highlight w:val="none"/>
          <w:lang w:val="en-US" w:eastAsia="zh-CN"/>
        </w:rPr>
        <w:t>工程量</w:t>
      </w:r>
      <w:r>
        <w:rPr>
          <w:rFonts w:hint="default" w:ascii="Times New Roman" w:hAnsi="Times New Roman" w:eastAsia="宋体" w:cs="Times New Roman"/>
          <w:color w:val="auto"/>
          <w:sz w:val="24"/>
          <w:highlight w:val="none"/>
          <w:lang w:eastAsia="zh-CN"/>
        </w:rPr>
        <w:t>，最终</w:t>
      </w:r>
      <w:r>
        <w:rPr>
          <w:rFonts w:hint="default" w:ascii="Times New Roman" w:hAnsi="Times New Roman" w:eastAsia="宋体" w:cs="Times New Roman"/>
          <w:color w:val="auto"/>
          <w:sz w:val="24"/>
          <w:highlight w:val="none"/>
          <w:lang w:val="en-US" w:eastAsia="zh-CN"/>
        </w:rPr>
        <w:t>工程量</w:t>
      </w:r>
      <w:r>
        <w:rPr>
          <w:rFonts w:hint="default" w:ascii="Times New Roman" w:hAnsi="Times New Roman" w:eastAsia="宋体" w:cs="Times New Roman"/>
          <w:color w:val="auto"/>
          <w:sz w:val="24"/>
          <w:highlight w:val="none"/>
          <w:lang w:eastAsia="zh-CN"/>
        </w:rPr>
        <w:t>按照</w:t>
      </w:r>
      <w:r>
        <w:rPr>
          <w:rFonts w:hint="default" w:ascii="Times New Roman" w:hAnsi="Times New Roman" w:eastAsia="宋体" w:cs="Times New Roman"/>
          <w:color w:val="auto"/>
          <w:sz w:val="24"/>
          <w:highlight w:val="none"/>
          <w:lang w:val="en-US" w:eastAsia="zh-CN"/>
        </w:rPr>
        <w:t>采购人</w:t>
      </w:r>
      <w:r>
        <w:rPr>
          <w:rFonts w:hint="default" w:ascii="Times New Roman" w:hAnsi="Times New Roman" w:eastAsia="宋体" w:cs="Times New Roman"/>
          <w:color w:val="auto"/>
          <w:sz w:val="24"/>
          <w:highlight w:val="none"/>
          <w:lang w:eastAsia="zh-CN"/>
        </w:rPr>
        <w:t>验收合格的数量为准；</w:t>
      </w:r>
    </w:p>
    <w:p>
      <w:pPr>
        <w:numPr>
          <w:ilvl w:val="0"/>
          <w:numId w:val="0"/>
        </w:numPr>
        <w:spacing w:line="534" w:lineRule="exact"/>
        <w:ind w:firstLine="480" w:firstLineChars="200"/>
        <w:jc w:val="left"/>
        <w:outlineLvl w:val="1"/>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5</w:t>
      </w:r>
      <w:r>
        <w:rPr>
          <w:rFonts w:hint="default"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报价保留</w:t>
      </w:r>
      <w:r>
        <w:rPr>
          <w:rFonts w:hint="default" w:ascii="Times New Roman" w:hAnsi="Times New Roman" w:eastAsia="宋体" w:cs="Times New Roman"/>
          <w:color w:val="auto"/>
          <w:sz w:val="24"/>
          <w:highlight w:val="none"/>
          <w:lang w:val="en-US" w:eastAsia="zh-CN"/>
        </w:rPr>
        <w:t>两</w:t>
      </w:r>
      <w:r>
        <w:rPr>
          <w:rFonts w:hint="default" w:ascii="Times New Roman" w:hAnsi="Times New Roman" w:eastAsia="宋体" w:cs="Times New Roman"/>
          <w:color w:val="auto"/>
          <w:sz w:val="24"/>
          <w:highlight w:val="none"/>
          <w:lang w:eastAsia="zh-CN"/>
        </w:rPr>
        <w:t>位小数（小数位数不作为废标条件）；</w:t>
      </w: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firstLine="480" w:firstLineChars="200"/>
        <w:jc w:val="left"/>
        <w:textAlignment w:val="auto"/>
        <w:outlineLvl w:val="1"/>
        <w:rPr>
          <w:rFonts w:hint="default" w:ascii="Times New Roman" w:hAnsi="Times New Roman" w:eastAsia="宋体" w:cs="Times New Roman"/>
          <w:bCs w:val="0"/>
          <w:color w:val="auto"/>
          <w:sz w:val="24"/>
          <w:highlight w:val="none"/>
          <w:lang w:val="en-US" w:eastAsia="zh-CN"/>
        </w:rPr>
      </w:pPr>
      <w:r>
        <w:rPr>
          <w:rFonts w:hint="default" w:ascii="Times New Roman" w:hAnsi="Times New Roman" w:eastAsia="宋体" w:cs="Times New Roman"/>
          <w:color w:val="auto"/>
          <w:sz w:val="24"/>
          <w:highlight w:val="none"/>
          <w:lang w:val="en-US" w:eastAsia="zh-CN"/>
        </w:rPr>
        <w:t>6</w:t>
      </w:r>
      <w:r>
        <w:rPr>
          <w:rFonts w:hint="default"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报价为含税价，税率为9%，税率最终按实结算</w:t>
      </w:r>
      <w:r>
        <w:rPr>
          <w:rFonts w:hint="default" w:cs="Times New Roman"/>
          <w:color w:val="auto"/>
          <w:sz w:val="24"/>
          <w:highlight w:val="none"/>
          <w:lang w:val="en-US" w:eastAsia="zh-CN"/>
        </w:rPr>
        <w:t>；</w:t>
      </w:r>
    </w:p>
    <w:p>
      <w:pPr>
        <w:numPr>
          <w:ilvl w:val="0"/>
          <w:numId w:val="0"/>
        </w:numPr>
        <w:spacing w:line="534" w:lineRule="exact"/>
        <w:ind w:firstLine="480" w:firstLineChars="200"/>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color w:val="auto"/>
          <w:sz w:val="24"/>
          <w:highlight w:val="none"/>
          <w:lang w:val="en-US" w:eastAsia="zh-CN"/>
        </w:rPr>
        <w:t>7.检测方法为：</w:t>
      </w:r>
      <w:r>
        <w:rPr>
          <w:rFonts w:hint="default" w:ascii="Times New Roman" w:hAnsi="Times New Roman" w:eastAsia="宋体" w:cs="Times New Roman"/>
          <w:color w:val="auto"/>
          <w:sz w:val="24"/>
          <w:szCs w:val="24"/>
          <w:highlight w:val="none"/>
          <w:lang w:val="en-US" w:eastAsia="zh-CN"/>
        </w:rPr>
        <w:t>示踪气体检测法。</w:t>
      </w:r>
    </w:p>
    <w:p>
      <w:pPr>
        <w:numPr>
          <w:ilvl w:val="0"/>
          <w:numId w:val="0"/>
        </w:numPr>
        <w:spacing w:before="0" w:beforeLines="-2147483648" w:line="534" w:lineRule="exact"/>
        <w:ind w:firstLine="480" w:firstLineChars="200"/>
        <w:outlineLvl w:val="1"/>
        <w:rPr>
          <w:rFonts w:hint="default" w:ascii="Times New Roman" w:hAnsi="Times New Roman" w:eastAsia="宋体" w:cs="Times New Roman"/>
          <w:color w:val="auto"/>
          <w:sz w:val="24"/>
          <w:highlight w:val="none"/>
          <w:lang w:val="en-US" w:eastAsia="zh-CN"/>
        </w:rPr>
      </w:pPr>
    </w:p>
    <w:p>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二、</w:t>
      </w:r>
      <w:r>
        <w:rPr>
          <w:rFonts w:hint="eastAsia" w:ascii="宋体" w:hAnsi="宋体"/>
          <w:b/>
          <w:color w:val="auto"/>
          <w:sz w:val="24"/>
          <w:highlight w:val="none"/>
          <w:lang w:eastAsia="zh-CN"/>
        </w:rPr>
        <w:t>工期</w:t>
      </w:r>
      <w:r>
        <w:rPr>
          <w:rFonts w:hint="eastAsia" w:ascii="宋体" w:hAnsi="宋体" w:eastAsia="宋体"/>
          <w:b/>
          <w:color w:val="auto"/>
          <w:sz w:val="24"/>
          <w:highlight w:val="none"/>
        </w:rPr>
        <w:t>、地点</w:t>
      </w:r>
    </w:p>
    <w:p>
      <w:pPr>
        <w:pStyle w:val="3"/>
        <w:keepNext w:val="0"/>
        <w:keepLines w:val="0"/>
        <w:pageBreakBefore w:val="0"/>
        <w:widowControl w:val="0"/>
        <w:kinsoku/>
        <w:wordWrap/>
        <w:overflowPunct/>
        <w:topLinePunct w:val="0"/>
        <w:autoSpaceDE/>
        <w:autoSpaceDN/>
        <w:bidi w:val="0"/>
        <w:adjustRightInd/>
        <w:snapToGrid/>
        <w:ind w:firstLine="516" w:firstLineChars="215"/>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highlight w:val="none"/>
        </w:rPr>
        <w:t>.服务期限（工期）：</w:t>
      </w:r>
      <w:r>
        <w:rPr>
          <w:rFonts w:hint="eastAsia" w:ascii="宋体" w:hAnsi="宋体" w:eastAsia="宋体" w:cs="宋体"/>
          <w:bCs/>
          <w:color w:val="auto"/>
          <w:sz w:val="24"/>
          <w:highlight w:val="none"/>
          <w:lang w:eastAsia="zh-CN"/>
        </w:rPr>
        <w:t>成交合同签订之日起30个工作日内验收合格。</w:t>
      </w:r>
    </w:p>
    <w:p>
      <w:pPr>
        <w:pStyle w:val="3"/>
        <w:ind w:firstLine="516" w:firstLineChars="215"/>
        <w:rPr>
          <w:rFonts w:hint="eastAsia" w:ascii="宋体" w:hAnsi="宋体" w:eastAsia="宋体"/>
          <w:b/>
          <w:color w:val="auto"/>
          <w:sz w:val="24"/>
          <w:highlight w:val="none"/>
        </w:rPr>
      </w:pPr>
      <w:r>
        <w:rPr>
          <w:rFonts w:hint="eastAsia" w:ascii="宋体" w:hAnsi="宋体" w:eastAsia="宋体" w:cs="宋体"/>
          <w:bCs/>
          <w:color w:val="auto"/>
          <w:sz w:val="24"/>
          <w:szCs w:val="24"/>
          <w:highlight w:val="none"/>
          <w:lang w:val="en-US" w:eastAsia="zh-CN"/>
        </w:rPr>
        <w:t>2.检测区域</w:t>
      </w:r>
      <w:r>
        <w:rPr>
          <w:rFonts w:hint="eastAsia" w:ascii="宋体" w:hAnsi="宋体" w:eastAsia="宋体" w:cs="宋体"/>
          <w:bCs/>
          <w:color w:val="auto"/>
          <w:sz w:val="24"/>
          <w:szCs w:val="24"/>
          <w:highlight w:val="none"/>
        </w:rPr>
        <w:t>：甲方</w:t>
      </w:r>
      <w:r>
        <w:rPr>
          <w:rFonts w:hint="eastAsia" w:ascii="宋体" w:hAnsi="宋体" w:eastAsia="宋体" w:cs="宋体"/>
          <w:bCs/>
          <w:color w:val="auto"/>
          <w:sz w:val="24"/>
          <w:szCs w:val="24"/>
          <w:highlight w:val="none"/>
          <w:lang w:eastAsia="zh-CN"/>
        </w:rPr>
        <w:t>现场</w:t>
      </w:r>
      <w:r>
        <w:rPr>
          <w:rFonts w:hint="eastAsia" w:ascii="宋体" w:hAnsi="宋体" w:eastAsia="宋体" w:cs="宋体"/>
          <w:bCs/>
          <w:color w:val="auto"/>
          <w:sz w:val="24"/>
          <w:szCs w:val="24"/>
          <w:highlight w:val="none"/>
        </w:rPr>
        <w:t>指定地点</w:t>
      </w:r>
      <w:r>
        <w:rPr>
          <w:rFonts w:hint="eastAsia" w:ascii="宋体" w:hAnsi="宋体" w:eastAsia="宋体" w:cs="宋体"/>
          <w:bCs/>
          <w:color w:val="auto"/>
          <w:sz w:val="24"/>
          <w:szCs w:val="24"/>
          <w:highlight w:val="none"/>
          <w:lang w:eastAsia="zh-CN"/>
        </w:rPr>
        <w:t>。</w:t>
      </w:r>
    </w:p>
    <w:p>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三、</w:t>
      </w:r>
      <w:r>
        <w:rPr>
          <w:rFonts w:ascii="宋体" w:hAnsi="宋体" w:eastAsia="宋体"/>
          <w:b/>
          <w:color w:val="auto"/>
          <w:sz w:val="24"/>
          <w:highlight w:val="none"/>
        </w:rPr>
        <w:t>质量技术指标及质量验收标准</w:t>
      </w:r>
    </w:p>
    <w:p>
      <w:pPr>
        <w:pStyle w:val="3"/>
        <w:spacing w:line="360" w:lineRule="auto"/>
        <w:ind w:firstLine="516" w:firstLineChars="215"/>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1.乙方自觉遵守甲方的监督管理，按时、按标准、按要求完成甲方所交办的工作。</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乙方必须落实安全生产措施，且应按甲方的要求，配备相关安全警示标志及设施，对其参与服务的所有人员进行安全培训，自行解决安全作业问题。乙方必须认真负责，注意安全操作，如发生任何意外，乙方负责事故处理及一切费用，概与甲方无关。</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3.乙方派出的服务人员应具备相关的专业知识及技术水平，熟悉本合同项目相关的规范、技术指标及施工工艺等，有足够能力完成合同约定工作内容。</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4.服务期间乙方根据合同及甲方要求中的各项条款，确实履行各项职责。</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5.乙方不得以任何方式转包或分包本项目。</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6.其他参照国家、省、市有关规范标准执行。</w:t>
      </w:r>
    </w:p>
    <w:p>
      <w:pPr>
        <w:numPr>
          <w:ilvl w:val="0"/>
          <w:numId w:val="3"/>
        </w:numPr>
        <w:spacing w:line="360" w:lineRule="auto"/>
        <w:ind w:left="0" w:leftChars="0" w:firstLine="0" w:firstLineChars="0"/>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验收</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w:t>
      </w:r>
      <w:r>
        <w:rPr>
          <w:rFonts w:hint="default" w:ascii="Times New Roman" w:hAnsi="Times New Roman" w:eastAsia="宋体" w:cs="Times New Roman"/>
          <w:i w:val="0"/>
          <w:iCs w:val="0"/>
          <w:color w:val="auto"/>
          <w:kern w:val="2"/>
          <w:sz w:val="24"/>
          <w:szCs w:val="24"/>
          <w:highlight w:val="none"/>
          <w:u w:val="none"/>
          <w:lang w:val="en-US" w:eastAsia="zh-CN" w:bidi="ar-SA"/>
        </w:rPr>
        <w:t>质量</w:t>
      </w:r>
      <w:r>
        <w:rPr>
          <w:rFonts w:hint="eastAsia" w:ascii="Times New Roman" w:hAnsi="Times New Roman" w:eastAsia="宋体" w:cs="Times New Roman"/>
          <w:i w:val="0"/>
          <w:iCs w:val="0"/>
          <w:color w:val="auto"/>
          <w:kern w:val="2"/>
          <w:sz w:val="24"/>
          <w:szCs w:val="24"/>
          <w:highlight w:val="none"/>
          <w:u w:val="none"/>
          <w:lang w:val="en-US" w:eastAsia="zh-CN" w:bidi="ar-SA"/>
        </w:rPr>
        <w:t>要求：</w:t>
      </w:r>
      <w:r>
        <w:rPr>
          <w:rFonts w:hint="eastAsia" w:ascii="Times New Roman" w:hAnsi="Times New Roman" w:eastAsia="宋体" w:cs="Times New Roman"/>
          <w:color w:val="auto"/>
          <w:kern w:val="2"/>
          <w:sz w:val="24"/>
          <w:szCs w:val="24"/>
          <w:highlight w:val="none"/>
          <w:lang w:val="en-US" w:eastAsia="zh-CN" w:bidi="ar-SA"/>
        </w:rPr>
        <w:t>符合国家现行相应工程施工质量验收规范合格标准。双方确认后签订竣工验收报告</w:t>
      </w:r>
      <w:r>
        <w:rPr>
          <w:rFonts w:hint="eastAsia" w:ascii="宋体" w:hAnsi="宋体" w:cs="宋体"/>
          <w:bCs/>
          <w:color w:val="auto"/>
          <w:sz w:val="24"/>
          <w:highlight w:val="none"/>
          <w:lang w:val="en-US" w:eastAsia="zh-CN"/>
        </w:rPr>
        <w:t>。</w:t>
      </w:r>
    </w:p>
    <w:p>
      <w:pPr>
        <w:pStyle w:val="3"/>
        <w:spacing w:line="360" w:lineRule="auto"/>
        <w:ind w:firstLine="480" w:firstLineChars="20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2.对验收不合格的部分，乙方应在甲方规定时间内及时整改完善直至合格。</w:t>
      </w:r>
    </w:p>
    <w:p>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b/>
          <w:color w:val="auto"/>
          <w:sz w:val="24"/>
          <w:highlight w:val="none"/>
        </w:rPr>
      </w:pPr>
      <w:r>
        <w:rPr>
          <w:rFonts w:hint="eastAsia" w:ascii="宋体" w:hAnsi="宋体"/>
          <w:b/>
          <w:color w:val="auto"/>
          <w:sz w:val="24"/>
          <w:highlight w:val="none"/>
          <w:lang w:eastAsia="zh-CN"/>
        </w:rPr>
        <w:t>五</w:t>
      </w:r>
      <w:r>
        <w:rPr>
          <w:rFonts w:hint="eastAsia" w:ascii="宋体" w:hAnsi="宋体" w:eastAsia="宋体"/>
          <w:b/>
          <w:color w:val="auto"/>
          <w:sz w:val="24"/>
          <w:highlight w:val="none"/>
        </w:rPr>
        <w:t>、付款方式及期限</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付款方式：</w:t>
      </w:r>
      <w:r>
        <w:rPr>
          <w:rFonts w:hint="eastAsia" w:ascii="宋体" w:hAnsi="宋体" w:cs="Times New Roman"/>
          <w:kern w:val="0"/>
          <w:sz w:val="24"/>
          <w:highlight w:val="none"/>
        </w:rPr>
        <w:t>工程竣工并验收合格，</w:t>
      </w:r>
      <w:r>
        <w:rPr>
          <w:rFonts w:hint="eastAsia" w:ascii="宋体" w:hAnsi="宋体" w:cs="Times New Roman"/>
          <w:kern w:val="0"/>
          <w:sz w:val="24"/>
          <w:highlight w:val="none"/>
          <w:lang w:val="en-US" w:eastAsia="zh-CN"/>
        </w:rPr>
        <w:t>供应商</w:t>
      </w:r>
      <w:r>
        <w:rPr>
          <w:rFonts w:hint="eastAsia" w:ascii="宋体" w:hAnsi="宋体" w:cs="Times New Roman"/>
          <w:kern w:val="0"/>
          <w:sz w:val="24"/>
          <w:highlight w:val="none"/>
        </w:rPr>
        <w:t>完善全部符合要求的竣工资料移交</w:t>
      </w:r>
      <w:r>
        <w:rPr>
          <w:rFonts w:hint="eastAsia" w:ascii="宋体" w:hAnsi="宋体" w:cs="Times New Roman"/>
          <w:kern w:val="0"/>
          <w:sz w:val="24"/>
          <w:highlight w:val="none"/>
          <w:lang w:val="en-US" w:eastAsia="zh-CN"/>
        </w:rPr>
        <w:t>采购人</w:t>
      </w:r>
      <w:r>
        <w:rPr>
          <w:rFonts w:hint="eastAsia" w:ascii="宋体" w:hAnsi="宋体" w:cs="Times New Roman"/>
          <w:kern w:val="0"/>
          <w:sz w:val="24"/>
          <w:highlight w:val="none"/>
        </w:rPr>
        <w:t>，待出具结算审核报告后，由双方根据该结算报告以及招标工程量清单确认双方的结算金额，经双方确认</w:t>
      </w:r>
      <w:r>
        <w:rPr>
          <w:rFonts w:hint="eastAsia" w:ascii="宋体" w:hAnsi="宋体" w:cs="Times New Roman"/>
          <w:kern w:val="0"/>
          <w:sz w:val="24"/>
          <w:highlight w:val="none"/>
          <w:lang w:val="en-US" w:eastAsia="zh-CN"/>
        </w:rPr>
        <w:t>之日起采购人在2个月</w:t>
      </w:r>
      <w:r>
        <w:rPr>
          <w:rFonts w:hint="eastAsia" w:ascii="宋体" w:hAnsi="宋体" w:cs="Times New Roman"/>
          <w:kern w:val="0"/>
          <w:sz w:val="24"/>
          <w:highlight w:val="none"/>
        </w:rPr>
        <w:t>内支付至工程结算金额的97%。剩余3%作为质保金，在质量缺陷责任期</w:t>
      </w:r>
      <w:r>
        <w:rPr>
          <w:rFonts w:hint="eastAsia" w:ascii="宋体" w:hAnsi="宋体" w:cs="Times New Roman"/>
          <w:kern w:val="0"/>
          <w:sz w:val="24"/>
          <w:highlight w:val="none"/>
          <w:lang w:eastAsia="zh-CN"/>
        </w:rPr>
        <w:t>（</w:t>
      </w:r>
      <w:r>
        <w:rPr>
          <w:rFonts w:hint="eastAsia" w:ascii="宋体" w:hAnsi="宋体" w:cs="Times New Roman"/>
          <w:kern w:val="0"/>
          <w:sz w:val="24"/>
          <w:highlight w:val="none"/>
          <w:lang w:val="en-US" w:eastAsia="zh-CN"/>
        </w:rPr>
        <w:t>2年</w:t>
      </w:r>
      <w:r>
        <w:rPr>
          <w:rFonts w:hint="eastAsia" w:ascii="宋体" w:hAnsi="宋体" w:cs="Times New Roman"/>
          <w:kern w:val="0"/>
          <w:sz w:val="24"/>
          <w:highlight w:val="none"/>
          <w:lang w:eastAsia="zh-CN"/>
        </w:rPr>
        <w:t>）</w:t>
      </w:r>
      <w:r>
        <w:rPr>
          <w:rFonts w:hint="eastAsia" w:ascii="宋体" w:hAnsi="宋体" w:cs="Times New Roman"/>
          <w:kern w:val="0"/>
          <w:sz w:val="24"/>
          <w:highlight w:val="none"/>
        </w:rPr>
        <w:t>届满后无息退还。</w:t>
      </w:r>
      <w:r>
        <w:rPr>
          <w:rFonts w:hint="eastAsia" w:ascii="宋体" w:hAnsi="宋体" w:eastAsia="宋体" w:cs="Times New Roman"/>
          <w:bCs/>
          <w:color w:val="auto"/>
          <w:sz w:val="24"/>
          <w:highlight w:val="none"/>
          <w:lang w:val="en-US" w:eastAsia="zh-CN"/>
        </w:rPr>
        <w:t>每次付款前，供应商应向采购人出具等额的增值税专用发票，否则采购人有权延迟支付</w:t>
      </w:r>
      <w:r>
        <w:rPr>
          <w:rFonts w:hint="eastAsia" w:ascii="宋体" w:hAnsi="宋体" w:cs="Times New Roman"/>
          <w:bCs/>
          <w:color w:val="auto"/>
          <w:sz w:val="24"/>
          <w:highlight w:val="none"/>
          <w:lang w:val="en-US" w:eastAsia="zh-CN"/>
        </w:rPr>
        <w:t>并不承担逾期付款的违约责任</w:t>
      </w:r>
      <w:r>
        <w:rPr>
          <w:rFonts w:hint="eastAsia" w:ascii="宋体" w:hAnsi="宋体" w:eastAsia="宋体" w:cs="Times New Roman"/>
          <w:bCs/>
          <w:color w:val="auto"/>
          <w:sz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hAnsi="宋体"/>
          <w:b/>
          <w:bCs/>
          <w:color w:val="auto"/>
          <w:sz w:val="24"/>
          <w:szCs w:val="24"/>
          <w:highlight w:val="none"/>
          <w:lang w:eastAsia="zh-CN"/>
        </w:rPr>
      </w:pPr>
      <w:r>
        <w:rPr>
          <w:rFonts w:hint="eastAsia" w:hAnsi="宋体"/>
          <w:b/>
          <w:bCs/>
          <w:color w:val="auto"/>
          <w:sz w:val="24"/>
          <w:szCs w:val="24"/>
          <w:highlight w:val="none"/>
          <w:lang w:eastAsia="zh-CN"/>
        </w:rPr>
        <w:t>六、履约保证金</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1.乙方应在收到中选通知后次日向甲方账户支付</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lang w:val="en-US" w:eastAsia="zh-CN"/>
        </w:rPr>
        <w:t>元作为履约保证金，期间不计算利息。</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2.在合同执行过程中如发生扣除履约保证金的情况，扣除后乙方必须在下月补充缴纳足额的履约保证金，合同方能继续有效，否则甲方将终止合同。</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3.本合同终止后，乙方提交履约保证金退还申请后7个工作日内，甲方将履约保证金全额无息汇入乙方。</w:t>
      </w:r>
    </w:p>
    <w:p>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Times New Roman" w:hAnsi="宋体" w:eastAsia="宋体" w:cs="宋体"/>
          <w:b/>
          <w:color w:val="auto"/>
          <w:sz w:val="24"/>
          <w:szCs w:val="24"/>
          <w:highlight w:val="none"/>
          <w:lang w:val="en-US" w:eastAsia="zh-CN"/>
        </w:rPr>
      </w:pPr>
      <w:r>
        <w:rPr>
          <w:rFonts w:hint="eastAsia" w:ascii="Times New Roman" w:hAnsi="宋体" w:eastAsia="宋体" w:cs="宋体"/>
          <w:b/>
          <w:color w:val="auto"/>
          <w:sz w:val="24"/>
          <w:szCs w:val="24"/>
          <w:highlight w:val="none"/>
          <w:lang w:val="en-US" w:eastAsia="zh-CN"/>
        </w:rPr>
        <w:t>七、相关权利及义务</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1.甲方在验收时对不符合质量要求的产品有权拒绝接收和追究违约责任。 </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2.甲方在合同规定期限内履行付款责任。</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3.甲方对乙方的技术及商业机密予以保密。</w:t>
      </w:r>
    </w:p>
    <w:p>
      <w:pPr>
        <w:pStyle w:val="3"/>
        <w:spacing w:line="360" w:lineRule="auto"/>
        <w:ind w:firstLine="516" w:firstLineChars="215"/>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4.乙方须在签订合同后向甲方报送工作人员名单及联系方式，项目负责人应保持手机24小时畅通。</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指派人员：          电话：                                 </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5.甲方现场负责人职责：协调现场各方面关系，监督服务质量、进度和安全文明、解决服务中存在的问题。</w:t>
      </w:r>
    </w:p>
    <w:p>
      <w:pPr>
        <w:pStyle w:val="3"/>
        <w:spacing w:line="360" w:lineRule="auto"/>
        <w:ind w:firstLine="516" w:firstLineChars="215"/>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 甲方现场负责人：          电话：</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6.乙方负责人职责：负责本现场的管理工作，负责质量、进度、安全等，与甲方现场负责人协调处理严格本次服务的相关事项。</w:t>
      </w:r>
    </w:p>
    <w:p>
      <w:pPr>
        <w:pStyle w:val="3"/>
        <w:spacing w:line="360" w:lineRule="auto"/>
        <w:ind w:firstLine="516" w:firstLineChars="215"/>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乙方现场负责人：            电话：</w:t>
      </w:r>
    </w:p>
    <w:p>
      <w:pPr>
        <w:pStyle w:val="3"/>
        <w:spacing w:line="360" w:lineRule="auto"/>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 xml:space="preserve">7.乙方有义务提供良好的售后服务。 </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8.乙方须指派专人负责与甲方联系售后服务事宜。</w:t>
      </w:r>
    </w:p>
    <w:p>
      <w:pPr>
        <w:pStyle w:val="3"/>
        <w:spacing w:line="360" w:lineRule="auto"/>
        <w:ind w:firstLine="516" w:firstLineChars="215"/>
        <w:rPr>
          <w:rFonts w:hint="eastAsia" w:ascii="Times New Roman" w:hAnsi="宋体" w:eastAsia="宋体" w:cs="宋体"/>
          <w:color w:val="auto"/>
          <w:highlight w:val="none"/>
          <w:lang w:val="en-US" w:eastAsia="zh-CN"/>
        </w:rPr>
      </w:pPr>
      <w:r>
        <w:rPr>
          <w:rFonts w:hint="eastAsia" w:ascii="宋体" w:hAnsi="宋体" w:cs="宋体"/>
          <w:bCs/>
          <w:color w:val="auto"/>
          <w:sz w:val="24"/>
          <w:highlight w:val="none"/>
          <w:lang w:val="en-US" w:eastAsia="zh-CN"/>
        </w:rPr>
        <w:t xml:space="preserve">指派人员：           电话：                   </w:t>
      </w:r>
      <w:r>
        <w:rPr>
          <w:rFonts w:hint="eastAsia" w:ascii="Times New Roman" w:hAnsi="宋体" w:eastAsia="宋体" w:cs="宋体"/>
          <w:color w:val="auto"/>
          <w:highlight w:val="none"/>
          <w:lang w:val="en-US"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szCs w:val="24"/>
          <w:highlight w:val="none"/>
        </w:rPr>
      </w:pPr>
      <w:r>
        <w:rPr>
          <w:rFonts w:hint="eastAsia" w:hAnsi="宋体"/>
          <w:b/>
          <w:color w:val="auto"/>
          <w:sz w:val="24"/>
          <w:szCs w:val="24"/>
          <w:highlight w:val="none"/>
          <w:lang w:eastAsia="zh-CN"/>
        </w:rPr>
        <w:t>八</w:t>
      </w:r>
      <w:r>
        <w:rPr>
          <w:rFonts w:hint="eastAsia" w:hAnsi="宋体"/>
          <w:b/>
          <w:color w:val="auto"/>
          <w:sz w:val="24"/>
          <w:szCs w:val="24"/>
          <w:highlight w:val="none"/>
        </w:rPr>
        <w:t>、违约责任</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1.甲方违约责任</w:t>
      </w:r>
    </w:p>
    <w:p>
      <w:pPr>
        <w:pStyle w:val="3"/>
        <w:spacing w:line="360" w:lineRule="auto"/>
        <w:ind w:firstLine="516" w:firstLineChars="215"/>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 甲方无正当理由拒绝验收的，甲方应偿付合同总价5％的违约金；累计最高不超过未付合同金额的20%；逾期付款超过7天的，乙方有权解除合同；</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 甲方逾期支付货款的，应向乙方偿付欠款总额 千分之一 /天的违约金，累计最高不超过未付合同金额的20%；逾期付款超过20天的，乙方有权解除合同；</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 甲方偿付的违约金不足以弥补乙方直接经济损失的，还应按乙方直接经济损失尚未弥补的部分，支付赔偿金给乙方。</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2.乙方违约责任</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（1）乙方的服务质量不符合合同规定的，乙方应向甲方支付合同总价5％的违约金，并须在合同规定的交时间内整改、完善，否则，甲方有权解除合同。</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（2）乙方逾期违约的，乙方应按逾期交货总额每日5％向甲方支付违约金，累计最高不超过合同总价的20%；逾期超过7天，甲方有权解除合同，乙方则应按合同总价款的20％向甲方偿付违约金。</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（3）乙方逾期不能完成服务的，乙方则应向甲方按合同总价款的 20％支付违约金，甲方有权解除合同。</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（5）乙方偿付的违约金不足以弥补甲方损失的，还应按甲方损失尚未弥补的部分，支付赔偿金给甲方。</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如有履约保证金的，乙方同意以上违约金甲方从履约保证金中扣除。若无乙方同意从代付款中先行扣除。</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szCs w:val="24"/>
          <w:highlight w:val="none"/>
        </w:rPr>
      </w:pPr>
      <w:r>
        <w:rPr>
          <w:rFonts w:hint="eastAsia" w:hAnsi="宋体"/>
          <w:b/>
          <w:color w:val="auto"/>
          <w:sz w:val="24"/>
          <w:szCs w:val="24"/>
          <w:highlight w:val="none"/>
          <w:lang w:eastAsia="zh-CN"/>
        </w:rPr>
        <w:t>九、</w:t>
      </w:r>
      <w:r>
        <w:rPr>
          <w:rFonts w:hint="eastAsia" w:hAnsi="宋体"/>
          <w:b/>
          <w:color w:val="auto"/>
          <w:sz w:val="24"/>
          <w:szCs w:val="24"/>
          <w:highlight w:val="none"/>
        </w:rPr>
        <w:t>不可抗力</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1.由于不可抗力的原因不能履行合同时，双方互不负违约责任。因不可抗力不能履行一方应及时向另一方通报不能履行或不能完全履行的理由，并向另一方提交经当地公证处公证的不可抗力事件文书。</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2.乙方由于不可抗力的原因不能履行合同时，应在服务时间到期以前及时向甲方通报不能履行或不能完全履行的理由，提供公证文书，双方可以签订延期履行、部分履行补充合同或者不履行合同。</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hAnsi="宋体" w:eastAsia="宋体"/>
          <w:b/>
          <w:color w:val="auto"/>
          <w:sz w:val="24"/>
          <w:szCs w:val="24"/>
          <w:highlight w:val="none"/>
          <w:lang w:eastAsia="zh-CN"/>
        </w:rPr>
      </w:pPr>
      <w:r>
        <w:rPr>
          <w:rFonts w:hint="eastAsia" w:hAnsi="宋体"/>
          <w:b/>
          <w:color w:val="auto"/>
          <w:sz w:val="24"/>
          <w:szCs w:val="24"/>
          <w:highlight w:val="none"/>
          <w:lang w:eastAsia="zh-CN"/>
        </w:rPr>
        <w:t>十</w:t>
      </w:r>
      <w:r>
        <w:rPr>
          <w:rFonts w:hint="eastAsia" w:hAnsi="宋体"/>
          <w:b/>
          <w:color w:val="auto"/>
          <w:sz w:val="24"/>
          <w:szCs w:val="24"/>
          <w:highlight w:val="none"/>
        </w:rPr>
        <w:t>、争议</w:t>
      </w:r>
      <w:r>
        <w:rPr>
          <w:rFonts w:hint="eastAsia" w:hAnsi="宋体"/>
          <w:b/>
          <w:color w:val="auto"/>
          <w:sz w:val="24"/>
          <w:szCs w:val="24"/>
          <w:highlight w:val="none"/>
          <w:lang w:eastAsia="zh-CN"/>
        </w:rPr>
        <w:t>解决</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1.因服务的质量问题发生争议，由具有法定资格条件的质量技术监督机构进行质量鉴定。符合标准的，鉴定费由甲方承担；不符合质量标准的，鉴定费由乙方承担。</w:t>
      </w:r>
    </w:p>
    <w:p>
      <w:pPr>
        <w:pStyle w:val="1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hAnsi="宋体" w:cs="宋体"/>
          <w:bCs/>
          <w:color w:val="auto"/>
          <w:sz w:val="24"/>
          <w:highlight w:val="none"/>
          <w:lang w:val="en-US" w:eastAsia="zh-CN"/>
        </w:rPr>
        <w:t>2.</w:t>
      </w:r>
      <w:r>
        <w:rPr>
          <w:rFonts w:hint="default" w:asciiTheme="minorEastAsia" w:hAnsiTheme="minorEastAsia" w:eastAsiaTheme="minorEastAsia" w:cstheme="minorEastAsia"/>
          <w:color w:val="auto"/>
          <w:kern w:val="2"/>
          <w:sz w:val="24"/>
          <w:szCs w:val="24"/>
          <w:highlight w:val="none"/>
          <w:lang w:val="en-US" w:eastAsia="zh-CN" w:bidi="ar-SA"/>
        </w:rPr>
        <w:t>甲乙双方因履行合同产生纠纷，应友好协商解决，如协商不成，按第</w:t>
      </w:r>
      <w:r>
        <w:rPr>
          <w:rFonts w:hint="eastAsia" w:asciiTheme="minorEastAsia" w:hAnsiTheme="minorEastAsia" w:eastAsiaTheme="minorEastAsia" w:cstheme="minorEastAsia"/>
          <w:color w:val="auto"/>
          <w:kern w:val="2"/>
          <w:sz w:val="24"/>
          <w:szCs w:val="24"/>
          <w:highlight w:val="none"/>
          <w:u w:val="single"/>
          <w:lang w:val="en-US" w:eastAsia="zh-CN" w:bidi="ar-SA"/>
        </w:rPr>
        <w:t>（1）</w:t>
      </w:r>
      <w:r>
        <w:rPr>
          <w:rFonts w:hint="default" w:asciiTheme="minorEastAsia" w:hAnsiTheme="minorEastAsia" w:eastAsiaTheme="minorEastAsia" w:cstheme="minorEastAsia"/>
          <w:color w:val="auto"/>
          <w:kern w:val="2"/>
          <w:sz w:val="24"/>
          <w:szCs w:val="24"/>
          <w:highlight w:val="none"/>
          <w:lang w:val="en-US" w:eastAsia="zh-CN" w:bidi="ar-SA"/>
        </w:rPr>
        <w:t>条方式解决</w:t>
      </w:r>
      <w:r>
        <w:rPr>
          <w:rFonts w:hint="eastAsia" w:asciiTheme="minorEastAsia" w:hAnsiTheme="minorEastAsia" w:eastAsiaTheme="minorEastAsia" w:cstheme="minorEastAsia"/>
          <w:color w:val="auto"/>
          <w:kern w:val="2"/>
          <w:sz w:val="24"/>
          <w:szCs w:val="24"/>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（1）向甲方所在地法院通过诉讼解决。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2）向泸州仲裁委提请仲裁解决。</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eastAsia="宋体" w:cs="宋体"/>
          <w:bCs/>
          <w:color w:val="auto"/>
          <w:kern w:val="2"/>
          <w:sz w:val="24"/>
          <w:szCs w:val="24"/>
          <w:highlight w:val="none"/>
          <w:lang w:val="en-US" w:eastAsia="zh-CN" w:bidi="ar-SA"/>
        </w:rPr>
        <w:t>3.采取诉讼方式解决争议的，违约方还应承担由此给相对方造成的一切经济损失，包括但不限于诉讼费、律师费、公告费、保全保险费、鉴定费等</w:t>
      </w:r>
      <w:r>
        <w:rPr>
          <w:rFonts w:hint="eastAsia" w:ascii="宋体" w:hAnsi="宋体" w:cs="宋体"/>
          <w:bCs/>
          <w:color w:val="auto"/>
          <w:sz w:val="24"/>
          <w:highlight w:val="none"/>
          <w:lang w:val="en-US" w:eastAsia="zh-CN"/>
        </w:rPr>
        <w:t>。</w:t>
      </w:r>
    </w:p>
    <w:p>
      <w:pPr>
        <w:pStyle w:val="11"/>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outlineLvl w:val="9"/>
        <w:rPr>
          <w:rFonts w:hint="eastAsia" w:ascii="宋体" w:hAnsi="宋体" w:eastAsia="宋体" w:cs="Times New Roman"/>
          <w:b/>
          <w:bCs w:val="0"/>
          <w:color w:val="auto"/>
          <w:kern w:val="0"/>
          <w:sz w:val="24"/>
          <w:szCs w:val="20"/>
          <w:highlight w:val="none"/>
          <w:lang w:val="en-US" w:eastAsia="zh-CN" w:bidi="ar-SA"/>
        </w:rPr>
      </w:pPr>
      <w:bookmarkStart w:id="79" w:name="_Toc3572"/>
      <w:bookmarkStart w:id="80" w:name="_Toc16525"/>
      <w:bookmarkStart w:id="81" w:name="_Toc18019"/>
      <w:bookmarkStart w:id="82" w:name="_Toc12791"/>
      <w:r>
        <w:rPr>
          <w:rFonts w:hint="eastAsia" w:ascii="宋体" w:hAnsi="宋体" w:eastAsia="宋体" w:cs="Times New Roman"/>
          <w:b/>
          <w:bCs w:val="0"/>
          <w:color w:val="auto"/>
          <w:kern w:val="0"/>
          <w:sz w:val="24"/>
          <w:szCs w:val="20"/>
          <w:highlight w:val="none"/>
          <w:lang w:val="en-US" w:eastAsia="zh-CN" w:bidi="ar-SA"/>
        </w:rPr>
        <w:t>十一、合同标的减少与追加处理</w:t>
      </w:r>
      <w:bookmarkEnd w:id="79"/>
      <w:bookmarkEnd w:id="80"/>
      <w:bookmarkEnd w:id="81"/>
      <w:bookmarkEnd w:id="82"/>
    </w:p>
    <w:p>
      <w:pPr>
        <w:pStyle w:val="11"/>
        <w:keepNext w:val="0"/>
        <w:keepLines w:val="0"/>
        <w:pageBreakBefore w:val="0"/>
        <w:widowControl w:val="0"/>
        <w:kinsoku/>
        <w:wordWrap/>
        <w:overflowPunct/>
        <w:topLinePunct w:val="0"/>
        <w:autoSpaceDE/>
        <w:autoSpaceDN/>
        <w:bidi w:val="0"/>
        <w:adjustRightInd/>
        <w:snapToGrid/>
        <w:ind w:firstLineChars="200"/>
        <w:textAlignment w:val="auto"/>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1.如因在合同履行过程中有变更，存在减少工程量情况，经甲、乙双方书面确认同意后，按乙方中标时的固定单价对总价进行调减。</w:t>
      </w:r>
    </w:p>
    <w:p>
      <w:pPr>
        <w:pStyle w:val="11"/>
        <w:widowControl w:val="0"/>
        <w:spacing w:line="440" w:lineRule="exact"/>
        <w:ind w:firstLine="480" w:firstLineChars="200"/>
        <w:outlineLvl w:val="9"/>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2.如因在合同履行过程中，需追加与本合同标的工程量，在不改变合同条款的前提下，经甲乙双方书面确认，按乙方中标时的固定单价对总价进行调增。</w:t>
      </w:r>
    </w:p>
    <w:p>
      <w:pPr>
        <w:pStyle w:val="11"/>
        <w:spacing w:line="440" w:lineRule="exact"/>
        <w:rPr>
          <w:rFonts w:hint="eastAsia" w:ascii="宋体" w:hAnsi="宋体" w:eastAsia="宋体" w:cs="宋体"/>
          <w:b/>
          <w:bCs/>
          <w:color w:val="auto"/>
          <w:sz w:val="24"/>
          <w:szCs w:val="24"/>
          <w:highlight w:val="none"/>
          <w:lang w:val="en-US" w:eastAsia="zh-CN"/>
        </w:rPr>
      </w:pPr>
      <w:r>
        <w:rPr>
          <w:rFonts w:hint="eastAsia" w:hAnsi="宋体"/>
          <w:b/>
          <w:color w:val="auto"/>
          <w:sz w:val="24"/>
          <w:highlight w:val="none"/>
        </w:rPr>
        <w:t>十</w:t>
      </w:r>
      <w:r>
        <w:rPr>
          <w:rFonts w:hint="eastAsia" w:hAnsi="宋体"/>
          <w:b/>
          <w:color w:val="auto"/>
          <w:sz w:val="24"/>
          <w:highlight w:val="none"/>
          <w:lang w:val="en-US" w:eastAsia="zh-CN"/>
        </w:rPr>
        <w:t>二</w:t>
      </w:r>
      <w:r>
        <w:rPr>
          <w:rFonts w:hint="eastAsia" w:hAnsi="宋体"/>
          <w:b/>
          <w:color w:val="auto"/>
          <w:sz w:val="24"/>
          <w:highlight w:val="none"/>
        </w:rPr>
        <w:t>、</w:t>
      </w:r>
      <w:r>
        <w:rPr>
          <w:rFonts w:hint="eastAsia" w:ascii="宋体" w:hAnsi="宋体" w:eastAsia="宋体" w:cs="宋体"/>
          <w:b/>
          <w:bCs/>
          <w:color w:val="auto"/>
          <w:sz w:val="24"/>
          <w:szCs w:val="24"/>
          <w:highlight w:val="none"/>
          <w:lang w:val="en-US" w:eastAsia="zh-CN"/>
        </w:rPr>
        <w:t>廉洁条款</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highlight w:val="none"/>
        </w:rPr>
      </w:pPr>
      <w:r>
        <w:rPr>
          <w:rFonts w:hint="eastAsia" w:hAnsi="宋体"/>
          <w:b/>
          <w:color w:val="auto"/>
          <w:sz w:val="24"/>
          <w:highlight w:val="none"/>
          <w:lang w:eastAsia="zh-CN"/>
        </w:rPr>
        <w:t>十</w:t>
      </w:r>
      <w:r>
        <w:rPr>
          <w:rFonts w:hint="eastAsia" w:hAnsi="宋体"/>
          <w:b/>
          <w:color w:val="auto"/>
          <w:sz w:val="24"/>
          <w:highlight w:val="none"/>
          <w:lang w:val="en-US" w:eastAsia="zh-CN"/>
        </w:rPr>
        <w:t>三</w:t>
      </w:r>
      <w:r>
        <w:rPr>
          <w:rFonts w:hint="eastAsia" w:hAnsi="宋体"/>
          <w:b/>
          <w:color w:val="auto"/>
          <w:sz w:val="24"/>
          <w:highlight w:val="none"/>
          <w:lang w:eastAsia="zh-CN"/>
        </w:rPr>
        <w:t>、</w:t>
      </w:r>
      <w:r>
        <w:rPr>
          <w:rFonts w:hint="eastAsia" w:hAnsi="宋体"/>
          <w:b/>
          <w:color w:val="auto"/>
          <w:sz w:val="24"/>
          <w:highlight w:val="none"/>
        </w:rPr>
        <w:t>其它事项</w:t>
      </w:r>
    </w:p>
    <w:p>
      <w:pPr>
        <w:pStyle w:val="3"/>
        <w:spacing w:line="360" w:lineRule="auto"/>
        <w:ind w:firstLine="516" w:firstLineChars="215"/>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w:t>
      </w:r>
      <w:r>
        <w:rPr>
          <w:rFonts w:hint="eastAsia" w:asciiTheme="minorEastAsia" w:hAnsiTheme="minorEastAsia" w:eastAsiaTheme="minorEastAsia" w:cstheme="minorEastAsia"/>
          <w:color w:val="auto"/>
          <w:kern w:val="2"/>
          <w:sz w:val="24"/>
          <w:szCs w:val="24"/>
          <w:highlight w:val="none"/>
          <w:lang w:val="en-US" w:eastAsia="zh-CN" w:bidi="ar-SA"/>
        </w:rPr>
        <w:t>（若有）详细技术说明及其他有关合同项目的特定信息由合同附件予以说明，合同附件及本项目的《询价/招标通知书》、响应文件、《成交通知书》等均为本合同不可分割的部分，合同的解释顺序优于在先的文件。</w:t>
      </w:r>
      <w:r>
        <w:rPr>
          <w:rFonts w:hint="eastAsia" w:ascii="宋体" w:hAnsi="宋体" w:cs="宋体"/>
          <w:bCs/>
          <w:color w:val="auto"/>
          <w:sz w:val="24"/>
          <w:highlight w:val="none"/>
          <w:lang w:val="en-US" w:eastAsia="zh-CN"/>
        </w:rPr>
        <w:t>。</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2.本合同一式叁  份，甲方执 贰 份，乙方执壹 份。</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w:t>
      </w:r>
      <w:r>
        <w:rPr>
          <w:rFonts w:hint="eastAsia" w:asciiTheme="minorEastAsia" w:hAnsiTheme="minorEastAsia" w:eastAsiaTheme="minorEastAsia" w:cstheme="minorEastAsia"/>
          <w:color w:val="auto"/>
          <w:kern w:val="2"/>
          <w:sz w:val="24"/>
          <w:szCs w:val="24"/>
          <w:highlight w:val="none"/>
          <w:lang w:val="en-US" w:eastAsia="zh-CN" w:bidi="ar-SA"/>
        </w:rPr>
        <w:t>本合同自</w:t>
      </w:r>
      <w:r>
        <w:rPr>
          <w:rFonts w:hint="default" w:ascii="宋体" w:hAnsi="宋体" w:eastAsia="宋体" w:cs="宋体"/>
          <w:b w:val="0"/>
          <w:bCs w:val="0"/>
          <w:color w:val="auto"/>
          <w:sz w:val="24"/>
          <w:szCs w:val="24"/>
          <w:highlight w:val="none"/>
          <w:lang w:val="en-US" w:eastAsia="zh-CN"/>
        </w:rPr>
        <w:t>双方</w:t>
      </w:r>
      <w:r>
        <w:rPr>
          <w:rFonts w:hint="eastAsia" w:ascii="宋体" w:hAnsi="宋体" w:eastAsia="宋体" w:cs="宋体"/>
          <w:b w:val="0"/>
          <w:bCs w:val="0"/>
          <w:color w:val="auto"/>
          <w:sz w:val="24"/>
          <w:szCs w:val="24"/>
          <w:highlight w:val="none"/>
          <w:lang w:val="en-US" w:eastAsia="zh-CN"/>
        </w:rPr>
        <w:t>法定（授权）代表签章并加盖单位公章或合同专用章后</w:t>
      </w:r>
      <w:r>
        <w:rPr>
          <w:rFonts w:hint="default" w:ascii="宋体" w:hAnsi="宋体" w:eastAsia="宋体" w:cs="宋体"/>
          <w:b w:val="0"/>
          <w:bCs w:val="0"/>
          <w:color w:val="auto"/>
          <w:sz w:val="24"/>
          <w:szCs w:val="24"/>
          <w:highlight w:val="none"/>
          <w:lang w:val="en-US" w:eastAsia="zh-CN"/>
        </w:rPr>
        <w:t>之日起生效。</w:t>
      </w:r>
      <w:r>
        <w:rPr>
          <w:rFonts w:hint="eastAsia" w:ascii="宋体" w:hAnsi="宋体" w:eastAsia="宋体" w:cs="宋体"/>
          <w:b w:val="0"/>
          <w:bCs w:val="0"/>
          <w:color w:val="auto"/>
          <w:sz w:val="24"/>
          <w:szCs w:val="24"/>
          <w:highlight w:val="none"/>
          <w:lang w:val="en-US" w:eastAsia="zh-CN"/>
        </w:rPr>
        <w:t>本协议生效后，与原合同具有同等法律效力</w:t>
      </w:r>
      <w:r>
        <w:rPr>
          <w:rFonts w:hint="eastAsia" w:ascii="宋体" w:hAnsi="宋体" w:cs="宋体"/>
          <w:bCs/>
          <w:color w:val="auto"/>
          <w:sz w:val="24"/>
          <w:highlight w:val="none"/>
          <w:lang w:val="en-US" w:eastAsia="zh-CN"/>
        </w:rPr>
        <w:t>。</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4.其它未尽事宜，由双方友好协商解决，并签订补充协议。</w:t>
      </w:r>
    </w:p>
    <w:p>
      <w:pPr>
        <w:pStyle w:val="3"/>
        <w:spacing w:line="360" w:lineRule="auto"/>
        <w:ind w:firstLine="516" w:firstLineChars="215"/>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（以下无正文）</w:t>
      </w:r>
    </w:p>
    <w:p>
      <w:pPr>
        <w:pStyle w:val="4"/>
        <w:rPr>
          <w:rFonts w:hint="eastAsia" w:ascii="宋体" w:hAnsi="宋体" w:cs="宋体"/>
          <w:bCs/>
          <w:color w:val="auto"/>
          <w:sz w:val="24"/>
          <w:highlight w:val="none"/>
          <w:lang w:val="en-US" w:eastAsia="zh-CN"/>
        </w:rPr>
      </w:pPr>
    </w:p>
    <w:p>
      <w:pPr>
        <w:pStyle w:val="6"/>
        <w:rPr>
          <w:rFonts w:hint="eastAsia"/>
          <w:highlight w:val="none"/>
          <w:lang w:val="en-US" w:eastAsia="zh-CN"/>
        </w:rPr>
      </w:pP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甲方：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（盖章）   </w:t>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乙方：   </w:t>
      </w:r>
      <w:r>
        <w:rPr>
          <w:rFonts w:ascii="宋体" w:hAnsi="宋体" w:eastAsia="宋体"/>
          <w:color w:val="auto"/>
          <w:sz w:val="24"/>
          <w:highlight w:val="none"/>
        </w:rPr>
        <w:t xml:space="preserve">         </w:t>
      </w:r>
      <w:r>
        <w:rPr>
          <w:rFonts w:hint="eastAsia" w:ascii="宋体" w:hAnsi="宋体" w:eastAsia="宋体"/>
          <w:color w:val="auto"/>
          <w:sz w:val="24"/>
          <w:highlight w:val="none"/>
        </w:rPr>
        <w:t>（盖章）</w:t>
      </w:r>
    </w:p>
    <w:p>
      <w:pPr>
        <w:pStyle w:val="28"/>
        <w:spacing w:line="360" w:lineRule="auto"/>
        <w:ind w:firstLine="496"/>
        <w:rPr>
          <w:rFonts w:ascii="宋体" w:hAnsi="宋体" w:eastAsia="宋体"/>
          <w:color w:val="auto"/>
          <w:sz w:val="24"/>
          <w:highlight w:val="none"/>
        </w:rPr>
      </w:pPr>
      <w:r>
        <w:rPr>
          <w:rFonts w:hint="eastAsia" w:asciiTheme="minorEastAsia" w:hAnsiTheme="minorEastAsia" w:eastAsiaTheme="minorEastAsia" w:cstheme="minorEastAsia"/>
          <w:b w:val="0"/>
          <w:bCs/>
          <w:color w:val="auto"/>
          <w:sz w:val="24"/>
          <w:szCs w:val="24"/>
          <w:highlight w:val="none"/>
        </w:rPr>
        <w:t xml:space="preserve">法定（授权）代表签字: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rPr>
        <w:t xml:space="preserve">   法定（授权）代表签字: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电    话：                         </w:t>
      </w:r>
      <w:r>
        <w:rPr>
          <w:rFonts w:ascii="宋体" w:hAnsi="宋体" w:eastAsia="宋体"/>
          <w:color w:val="auto"/>
          <w:sz w:val="24"/>
          <w:highlight w:val="none"/>
        </w:rPr>
        <w:t xml:space="preserve">    </w:t>
      </w:r>
      <w:r>
        <w:rPr>
          <w:rFonts w:hint="eastAsia" w:ascii="宋体" w:hAnsi="宋体" w:eastAsia="宋体"/>
          <w:color w:val="auto"/>
          <w:sz w:val="24"/>
          <w:highlight w:val="none"/>
        </w:rPr>
        <w:t>电    话：</w:t>
      </w:r>
    </w:p>
    <w:p>
      <w:pPr>
        <w:ind w:firstLine="480" w:firstLineChars="200"/>
        <w:rPr>
          <w:color w:val="auto"/>
          <w:highlight w:val="none"/>
        </w:rPr>
      </w:pPr>
      <w:r>
        <w:rPr>
          <w:rFonts w:hint="eastAsia" w:ascii="宋体" w:hAnsi="宋体" w:eastAsia="宋体"/>
          <w:color w:val="auto"/>
          <w:sz w:val="24"/>
          <w:highlight w:val="none"/>
        </w:rPr>
        <w:t>签约日期：</w:t>
      </w:r>
      <w:r>
        <w:rPr>
          <w:rFonts w:hint="eastAsia" w:ascii="宋体" w:hAnsi="宋体" w:eastAsia="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eastAsia="宋体"/>
          <w:color w:val="auto"/>
          <w:sz w:val="24"/>
          <w:highlight w:val="none"/>
          <w:lang w:eastAsia="zh-CN"/>
        </w:rPr>
        <w:t>年</w:t>
      </w:r>
      <w:r>
        <w:rPr>
          <w:rFonts w:ascii="宋体" w:hAnsi="宋体" w:eastAsia="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月 </w:t>
      </w:r>
      <w:r>
        <w:rPr>
          <w:rFonts w:hint="eastAsia" w:ascii="宋体" w:hAnsi="宋体"/>
          <w:color w:val="auto"/>
          <w:sz w:val="24"/>
          <w:highlight w:val="none"/>
          <w:lang w:val="en-US" w:eastAsia="zh-CN"/>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日 </w:t>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签约日期：</w:t>
      </w:r>
      <w:r>
        <w:rPr>
          <w:rFonts w:hint="eastAsia" w:ascii="宋体" w:hAnsi="宋体" w:eastAsia="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eastAsia="宋体"/>
          <w:color w:val="auto"/>
          <w:sz w:val="24"/>
          <w:highlight w:val="none"/>
          <w:lang w:eastAsia="zh-CN"/>
        </w:rPr>
        <w:t>年</w:t>
      </w:r>
      <w:r>
        <w:rPr>
          <w:rFonts w:ascii="宋体" w:hAnsi="宋体" w:eastAsia="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 xml:space="preserve">月 </w:t>
      </w:r>
      <w:r>
        <w:rPr>
          <w:rFonts w:hint="eastAsia" w:ascii="宋体" w:hAnsi="宋体"/>
          <w:color w:val="auto"/>
          <w:sz w:val="24"/>
          <w:highlight w:val="none"/>
          <w:lang w:val="en-US" w:eastAsia="zh-CN"/>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Pr>
    </w:pPr>
    <w:r>
      <w:fldChar w:fldCharType="begin"/>
    </w:r>
    <w:r>
      <w:rPr>
        <w:rStyle w:val="19"/>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5414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3版&#10;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C99F21A4"/>
    <w:multiLevelType w:val="singleLevel"/>
    <w:tmpl w:val="C99F21A4"/>
    <w:lvl w:ilvl="0" w:tentative="0">
      <w:start w:val="2"/>
      <w:numFmt w:val="chineseCounting"/>
      <w:suff w:val="nothing"/>
      <w:lvlText w:val="%1、"/>
      <w:lvlJc w:val="left"/>
      <w:rPr>
        <w:rFonts w:hint="eastAsia"/>
      </w:rPr>
    </w:lvl>
  </w:abstractNum>
  <w:abstractNum w:abstractNumId="2">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BA1E8C"/>
    <w:multiLevelType w:val="singleLevel"/>
    <w:tmpl w:val="61BA1E8C"/>
    <w:lvl w:ilvl="0" w:tentative="0">
      <w:start w:val="3"/>
      <w:numFmt w:val="decimal"/>
      <w:lvlText w:val="%1."/>
      <w:lvlJc w:val="left"/>
      <w:pPr>
        <w:tabs>
          <w:tab w:val="left" w:pos="312"/>
        </w:tabs>
      </w:pPr>
    </w:lvl>
  </w:abstractNum>
  <w:abstractNum w:abstractNumId="4">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YzY4NDc0ZGUzNWVhOGNiMGZiZWNiZWUzM2I3ZjEifQ=="/>
  </w:docVars>
  <w:rsids>
    <w:rsidRoot w:val="36AC046F"/>
    <w:rsid w:val="015A40C0"/>
    <w:rsid w:val="022D44E9"/>
    <w:rsid w:val="038059BA"/>
    <w:rsid w:val="0579711A"/>
    <w:rsid w:val="07C53EED"/>
    <w:rsid w:val="07F444ED"/>
    <w:rsid w:val="0970184A"/>
    <w:rsid w:val="0A993BD2"/>
    <w:rsid w:val="0B7437BF"/>
    <w:rsid w:val="0C2D056C"/>
    <w:rsid w:val="0CF434BA"/>
    <w:rsid w:val="0E560192"/>
    <w:rsid w:val="0F3F2E38"/>
    <w:rsid w:val="103D6915"/>
    <w:rsid w:val="12305059"/>
    <w:rsid w:val="12F60DC1"/>
    <w:rsid w:val="13722A67"/>
    <w:rsid w:val="13C72D3C"/>
    <w:rsid w:val="14C77FB1"/>
    <w:rsid w:val="15C0597A"/>
    <w:rsid w:val="169F18C1"/>
    <w:rsid w:val="17D465FD"/>
    <w:rsid w:val="18510AEB"/>
    <w:rsid w:val="1B763E42"/>
    <w:rsid w:val="1C2A5F5B"/>
    <w:rsid w:val="1C726FD2"/>
    <w:rsid w:val="1C8E3717"/>
    <w:rsid w:val="1F1A4099"/>
    <w:rsid w:val="1F264742"/>
    <w:rsid w:val="210671ED"/>
    <w:rsid w:val="21725D08"/>
    <w:rsid w:val="2B1941AD"/>
    <w:rsid w:val="2F3C5406"/>
    <w:rsid w:val="2F8F7F4D"/>
    <w:rsid w:val="34951263"/>
    <w:rsid w:val="358572DF"/>
    <w:rsid w:val="36AC046F"/>
    <w:rsid w:val="390A104A"/>
    <w:rsid w:val="3D51486C"/>
    <w:rsid w:val="40FA2514"/>
    <w:rsid w:val="424D0F9B"/>
    <w:rsid w:val="42FC30FC"/>
    <w:rsid w:val="46B0103B"/>
    <w:rsid w:val="48136B0B"/>
    <w:rsid w:val="48C068B7"/>
    <w:rsid w:val="4AD8242D"/>
    <w:rsid w:val="4CA178C8"/>
    <w:rsid w:val="4DB756F5"/>
    <w:rsid w:val="4FCB1D18"/>
    <w:rsid w:val="4FE65048"/>
    <w:rsid w:val="507837EB"/>
    <w:rsid w:val="51E878C7"/>
    <w:rsid w:val="52AE4F47"/>
    <w:rsid w:val="55983381"/>
    <w:rsid w:val="57182E80"/>
    <w:rsid w:val="584B450D"/>
    <w:rsid w:val="59CC4C23"/>
    <w:rsid w:val="5A0130C6"/>
    <w:rsid w:val="5B466196"/>
    <w:rsid w:val="5B6953A2"/>
    <w:rsid w:val="5CFD4F18"/>
    <w:rsid w:val="5D3B3AB4"/>
    <w:rsid w:val="5FAB1E0A"/>
    <w:rsid w:val="6337460B"/>
    <w:rsid w:val="6345051E"/>
    <w:rsid w:val="649B2ABE"/>
    <w:rsid w:val="64F167CA"/>
    <w:rsid w:val="67A00003"/>
    <w:rsid w:val="67DA2938"/>
    <w:rsid w:val="69E86C89"/>
    <w:rsid w:val="6B572E46"/>
    <w:rsid w:val="6CFF6285"/>
    <w:rsid w:val="701F452A"/>
    <w:rsid w:val="70C06CF4"/>
    <w:rsid w:val="715D22FE"/>
    <w:rsid w:val="719602AD"/>
    <w:rsid w:val="73A54589"/>
    <w:rsid w:val="76967E32"/>
    <w:rsid w:val="79FF4DD4"/>
    <w:rsid w:val="7D0F2741"/>
    <w:rsid w:val="7E1E7F1F"/>
    <w:rsid w:val="7EFD45D7"/>
    <w:rsid w:val="7F38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7"/>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Body Text First Indent 2"/>
    <w:basedOn w:val="8"/>
    <w:next w:val="2"/>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paragraph" w:styleId="8">
    <w:name w:val="Body Text Indent"/>
    <w:basedOn w:val="1"/>
    <w:qFormat/>
    <w:uiPriority w:val="0"/>
    <w:pPr>
      <w:ind w:firstLine="630"/>
    </w:pPr>
    <w:rPr>
      <w:sz w:val="32"/>
      <w:szCs w:val="20"/>
    </w:rPr>
  </w:style>
  <w:style w:type="paragraph" w:styleId="10">
    <w:name w:val="annotation text"/>
    <w:basedOn w:val="1"/>
    <w:qFormat/>
    <w:uiPriority w:val="0"/>
    <w:pPr>
      <w:jc w:val="left"/>
    </w:p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styleId="23">
    <w:name w:val="List Paragraph"/>
    <w:basedOn w:val="1"/>
    <w:qFormat/>
    <w:uiPriority w:val="0"/>
    <w:pPr>
      <w:ind w:firstLine="42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9"/>
    <w:qFormat/>
    <w:uiPriority w:val="9"/>
    <w:rPr>
      <w:b/>
      <w:bCs/>
      <w:sz w:val="32"/>
      <w:szCs w:val="32"/>
    </w:rPr>
  </w:style>
  <w:style w:type="paragraph" w:customStyle="1" w:styleId="27">
    <w:name w:val="列出段落1"/>
    <w:basedOn w:val="1"/>
    <w:qFormat/>
    <w:uiPriority w:val="34"/>
    <w:pPr>
      <w:ind w:firstLine="420" w:firstLineChars="200"/>
    </w:pPr>
    <w:rPr>
      <w:rFonts w:ascii="Calibri" w:hAnsi="Calibri" w:eastAsia="宋体" w:cs="Times New Roman"/>
      <w:szCs w:val="22"/>
    </w:rPr>
  </w:style>
  <w:style w:type="paragraph" w:customStyle="1" w:styleId="2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4"/>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18008</Words>
  <Characters>19324</Characters>
  <Lines>0</Lines>
  <Paragraphs>0</Paragraphs>
  <TotalTime>66</TotalTime>
  <ScaleCrop>false</ScaleCrop>
  <LinksUpToDate>false</LinksUpToDate>
  <CharactersWithSpaces>19581</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2024-03-28T02:41:00Z</dcterms:created>
  <dc:creator>咖啡</dc:creator>
  <cp:lastModifiedBy>咖啡</cp:lastModifiedBy>
  <cp:lastPrinted>2025-09-19T01:05:00Z</cp:lastPrinted>
  <dcterms:modified xsi:type="dcterms:W3CDTF">2025-09-26T09:42:59Z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FDFDF77BC94B4F7D931ACE4FA500120B_13</vt:lpwstr>
  </property>
  <property fmtid="{D5CDD505-2E9C-101B-9397-08002B2CF9AE}" pid="4" name="KSOTemplateDocerSaveRecord">
    <vt:lpwstr>eyJoZGlkIjoiMzUwYjE5NTVhOWFkN2E0ZjJmNmZhY2FlN2IwMDhlZGYiLCJ1c2VySWQiOiIxNDc1ODI5MDc2In0=</vt:lpwstr>
  </property>
</Properties>
</file>