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XYCG【2025】088</w:t>
      </w:r>
      <w:r>
        <w:rPr>
          <w:rFonts w:hint="eastAsia"/>
          <w:b/>
          <w:color w:val="auto"/>
          <w:sz w:val="32"/>
          <w:szCs w:val="32"/>
          <w:highlight w:val="none"/>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276" w:lineRule="auto"/>
        <w:jc w:val="center"/>
        <w:rPr>
          <w:rFonts w:hint="eastAsia" w:ascii="宋体"/>
          <w:b/>
          <w:color w:val="auto"/>
          <w:sz w:val="84"/>
          <w:szCs w:val="84"/>
          <w:highlight w:val="none"/>
          <w:lang w:val="en-US" w:eastAsia="zh-CN"/>
        </w:rPr>
      </w:pPr>
      <w:r>
        <w:rPr>
          <w:rFonts w:hint="eastAsia" w:ascii="宋体"/>
          <w:b/>
          <w:color w:val="auto"/>
          <w:sz w:val="84"/>
          <w:szCs w:val="84"/>
          <w:highlight w:val="none"/>
          <w:lang w:val="en-US" w:eastAsia="zh-CN"/>
        </w:rPr>
        <w:t>电动三轮摩托车</w:t>
      </w: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lang w:val="en-US" w:eastAsia="zh-CN"/>
        </w:rPr>
        <w:t>采购</w:t>
      </w:r>
      <w:r>
        <w:rPr>
          <w:rFonts w:hint="eastAsia" w:ascii="宋体"/>
          <w:b/>
          <w:color w:val="auto"/>
          <w:sz w:val="84"/>
          <w:szCs w:val="84"/>
          <w:highlight w:val="none"/>
        </w:rPr>
        <w:t>项目</w:t>
      </w:r>
    </w:p>
    <w:p>
      <w:pPr>
        <w:pStyle w:val="3"/>
        <w:spacing w:line="360" w:lineRule="auto"/>
        <w:rPr>
          <w:rFonts w:hint="eastAsia"/>
          <w:color w:val="auto"/>
          <w:highlight w:val="none"/>
        </w:rPr>
      </w:pPr>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lang w:val="en-US" w:eastAsia="zh-CN"/>
        </w:rPr>
        <w:t>泸州市江阳区醉美城市公园管理有限公司</w:t>
      </w:r>
      <w:r>
        <w:rPr>
          <w:rFonts w:hint="eastAsia"/>
          <w:b/>
          <w:color w:val="auto"/>
          <w:sz w:val="32"/>
          <w:szCs w:val="32"/>
          <w:highlight w:val="none"/>
        </w:rPr>
        <w:t xml:space="preserve">  </w:t>
      </w:r>
      <w:r>
        <w:rPr>
          <w:b/>
          <w:color w:val="auto"/>
          <w:sz w:val="32"/>
          <w:szCs w:val="32"/>
          <w:highlight w:val="none"/>
        </w:rPr>
        <w:t>编制</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 xml:space="preserve"> 12 </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0" w:name="_Hlt101843627"/>
      <w:bookmarkEnd w:id="0"/>
      <w:bookmarkStart w:id="1" w:name="_Hlt101233737"/>
      <w:bookmarkEnd w:id="1"/>
      <w:bookmarkStart w:id="2" w:name="_Toc2899"/>
      <w:bookmarkStart w:id="3" w:name="_Toc91771145"/>
      <w:bookmarkStart w:id="4" w:name="_Toc27295"/>
      <w:r>
        <w:rPr>
          <w:rFonts w:hint="eastAsia" w:ascii="黑体" w:hAnsi="黑体" w:eastAsia="黑体"/>
          <w:color w:val="auto"/>
          <w:sz w:val="36"/>
          <w:highlight w:val="none"/>
        </w:rPr>
        <w:t>目 录</w:t>
      </w:r>
      <w:bookmarkEnd w:id="2"/>
      <w:bookmarkEnd w:id="3"/>
      <w:bookmarkEnd w:id="4"/>
    </w:p>
    <w:p>
      <w:pPr>
        <w:pStyle w:val="13"/>
        <w:tabs>
          <w:tab w:val="right" w:leader="dot" w:pos="8306"/>
        </w:tabs>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_Toc27295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tab/>
      </w:r>
      <w:r>
        <w:fldChar w:fldCharType="begin"/>
      </w:r>
      <w:r>
        <w:instrText xml:space="preserve"> PAGEREF _Toc27295 \h </w:instrText>
      </w:r>
      <w:r>
        <w:fldChar w:fldCharType="separate"/>
      </w:r>
      <w:r>
        <w:t>1</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_Toc18450 </w:instrText>
      </w:r>
      <w:r>
        <w:rPr>
          <w:rFonts w:hint="eastAsia" w:ascii="宋体" w:hAnsi="宋体" w:eastAsia="宋体" w:cs="宋体"/>
          <w:kern w:val="2"/>
          <w:szCs w:val="24"/>
          <w:highlight w:val="none"/>
        </w:rPr>
        <w:fldChar w:fldCharType="separate"/>
      </w:r>
      <w:r>
        <w:rPr>
          <w:rFonts w:hint="eastAsia"/>
        </w:rPr>
        <w:t>第一章 询价邀请公告</w:t>
      </w:r>
      <w:r>
        <w:tab/>
      </w:r>
      <w:r>
        <w:fldChar w:fldCharType="begin"/>
      </w:r>
      <w:r>
        <w:instrText xml:space="preserve"> PAGEREF _Toc18450 \h </w:instrText>
      </w:r>
      <w:r>
        <w:fldChar w:fldCharType="separate"/>
      </w:r>
      <w:r>
        <w:t>2</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_Toc29638 </w:instrText>
      </w:r>
      <w:r>
        <w:rPr>
          <w:rFonts w:hint="eastAsia" w:ascii="宋体" w:hAnsi="宋体" w:eastAsia="宋体" w:cs="宋体"/>
          <w:kern w:val="2"/>
          <w:szCs w:val="24"/>
          <w:highlight w:val="none"/>
        </w:rPr>
        <w:fldChar w:fldCharType="separate"/>
      </w:r>
      <w:r>
        <w:rPr>
          <w:rFonts w:hint="eastAsia"/>
        </w:rPr>
        <w:t>第二章 询价须知</w:t>
      </w:r>
      <w:r>
        <w:tab/>
      </w:r>
      <w:r>
        <w:fldChar w:fldCharType="begin"/>
      </w:r>
      <w:r>
        <w:instrText xml:space="preserve"> PAGEREF _Toc29638 \h </w:instrText>
      </w:r>
      <w:r>
        <w:fldChar w:fldCharType="separate"/>
      </w:r>
      <w:r>
        <w:t>5</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_Toc31669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_Toc31669 \h </w:instrText>
      </w:r>
      <w:r>
        <w:fldChar w:fldCharType="separate"/>
      </w:r>
      <w:r>
        <w:t>5</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_Toc32052 </w:instrText>
      </w:r>
      <w:r>
        <w:rPr>
          <w:rFonts w:hint="eastAsia" w:ascii="宋体" w:hAnsi="宋体" w:eastAsia="宋体" w:cs="宋体"/>
          <w:kern w:val="2"/>
          <w:szCs w:val="24"/>
          <w:highlight w:val="none"/>
        </w:rPr>
        <w:fldChar w:fldCharType="separate"/>
      </w:r>
      <w:r>
        <w:rPr>
          <w:rFonts w:hint="eastAsia"/>
        </w:rPr>
        <w:t>二、总则</w:t>
      </w:r>
      <w:r>
        <w:tab/>
      </w:r>
      <w:r>
        <w:fldChar w:fldCharType="begin"/>
      </w:r>
      <w:r>
        <w:instrText xml:space="preserve"> PAGEREF _Toc32052 \h </w:instrText>
      </w:r>
      <w:r>
        <w:fldChar w:fldCharType="separate"/>
      </w:r>
      <w:r>
        <w:t>9</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_Toc15746 </w:instrText>
      </w:r>
      <w:r>
        <w:rPr>
          <w:rFonts w:hint="eastAsia" w:ascii="宋体" w:hAnsi="宋体" w:eastAsia="宋体" w:cs="宋体"/>
          <w:kern w:val="2"/>
          <w:szCs w:val="24"/>
          <w:highlight w:val="none"/>
        </w:rPr>
        <w:fldChar w:fldCharType="separate"/>
      </w:r>
      <w:r>
        <w:t>三、询价文件</w:t>
      </w:r>
      <w:r>
        <w:tab/>
      </w:r>
      <w:r>
        <w:fldChar w:fldCharType="begin"/>
      </w:r>
      <w:r>
        <w:instrText xml:space="preserve"> PAGEREF _Toc15746 \h </w:instrText>
      </w:r>
      <w:r>
        <w:fldChar w:fldCharType="separate"/>
      </w:r>
      <w:r>
        <w:t>12</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_Toc15399 </w:instrText>
      </w:r>
      <w:r>
        <w:rPr>
          <w:rFonts w:hint="eastAsia" w:ascii="宋体" w:hAnsi="宋体" w:eastAsia="宋体" w:cs="宋体"/>
          <w:kern w:val="2"/>
          <w:szCs w:val="24"/>
          <w:highlight w:val="none"/>
        </w:rPr>
        <w:fldChar w:fldCharType="separate"/>
      </w:r>
      <w:r>
        <w:t>四、询价响应文件</w:t>
      </w:r>
      <w:r>
        <w:tab/>
      </w:r>
      <w:r>
        <w:fldChar w:fldCharType="begin"/>
      </w:r>
      <w:r>
        <w:instrText xml:space="preserve"> PAGEREF _Toc15399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_Toc6072 </w:instrText>
      </w:r>
      <w:r>
        <w:rPr>
          <w:rFonts w:hint="eastAsia" w:ascii="宋体" w:hAnsi="宋体" w:eastAsia="宋体" w:cs="宋体"/>
          <w:kern w:val="2"/>
          <w:szCs w:val="24"/>
          <w:highlight w:val="none"/>
        </w:rPr>
        <w:fldChar w:fldCharType="separate"/>
      </w:r>
      <w:r>
        <w:t>五、询价及评审过程</w:t>
      </w:r>
      <w:r>
        <w:tab/>
      </w:r>
      <w:r>
        <w:fldChar w:fldCharType="begin"/>
      </w:r>
      <w:r>
        <w:instrText xml:space="preserve"> PAGEREF _Toc6072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_Toc31732 </w:instrText>
      </w:r>
      <w:r>
        <w:rPr>
          <w:rFonts w:hint="eastAsia" w:ascii="宋体" w:hAnsi="宋体" w:eastAsia="宋体" w:cs="宋体"/>
          <w:kern w:val="2"/>
          <w:szCs w:val="24"/>
          <w:highlight w:val="none"/>
        </w:rPr>
        <w:fldChar w:fldCharType="separate"/>
      </w:r>
      <w:r>
        <w:t>六、成交事项</w:t>
      </w:r>
      <w:r>
        <w:tab/>
      </w:r>
      <w:r>
        <w:fldChar w:fldCharType="begin"/>
      </w:r>
      <w:r>
        <w:instrText xml:space="preserve"> PAGEREF _Toc31732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_Toc12837 </w:instrText>
      </w:r>
      <w:r>
        <w:rPr>
          <w:rFonts w:hint="eastAsia" w:ascii="宋体" w:hAnsi="宋体" w:eastAsia="宋体" w:cs="宋体"/>
          <w:kern w:val="2"/>
          <w:szCs w:val="24"/>
          <w:highlight w:val="none"/>
        </w:rPr>
        <w:fldChar w:fldCharType="separate"/>
      </w:r>
      <w:r>
        <w:t>七、合同事项</w:t>
      </w:r>
      <w:r>
        <w:tab/>
      </w:r>
      <w:r>
        <w:fldChar w:fldCharType="begin"/>
      </w:r>
      <w:r>
        <w:instrText xml:space="preserve"> PAGEREF _Toc12837 \h </w:instrText>
      </w:r>
      <w:r>
        <w:fldChar w:fldCharType="separate"/>
      </w:r>
      <w:r>
        <w:t>17</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_Toc20434 </w:instrText>
      </w:r>
      <w:r>
        <w:rPr>
          <w:rFonts w:hint="eastAsia" w:ascii="宋体" w:hAnsi="宋体" w:eastAsia="宋体" w:cs="宋体"/>
          <w:kern w:val="2"/>
          <w:szCs w:val="24"/>
          <w:highlight w:val="none"/>
        </w:rPr>
        <w:fldChar w:fldCharType="separate"/>
      </w:r>
      <w:r>
        <w:t>八、询价纪律要求</w:t>
      </w:r>
      <w:r>
        <w:tab/>
      </w:r>
      <w:r>
        <w:fldChar w:fldCharType="begin"/>
      </w:r>
      <w:r>
        <w:instrText xml:space="preserve"> PAGEREF _Toc20434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_Toc15166 </w:instrText>
      </w:r>
      <w:r>
        <w:rPr>
          <w:rFonts w:hint="eastAsia" w:ascii="宋体" w:hAnsi="宋体" w:eastAsia="宋体" w:cs="宋体"/>
          <w:kern w:val="2"/>
          <w:szCs w:val="24"/>
          <w:highlight w:val="none"/>
        </w:rPr>
        <w:fldChar w:fldCharType="separate"/>
      </w:r>
      <w:r>
        <w:t>九、询问、质疑和投诉</w:t>
      </w:r>
      <w:r>
        <w:tab/>
      </w:r>
      <w:r>
        <w:fldChar w:fldCharType="begin"/>
      </w:r>
      <w:r>
        <w:instrText xml:space="preserve"> PAGEREF _Toc15166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_Toc23573 </w:instrText>
      </w:r>
      <w:r>
        <w:rPr>
          <w:rFonts w:hint="eastAsia" w:ascii="宋体" w:hAnsi="宋体" w:eastAsia="宋体" w:cs="宋体"/>
          <w:kern w:val="2"/>
          <w:szCs w:val="24"/>
          <w:highlight w:val="none"/>
        </w:rPr>
        <w:fldChar w:fldCharType="separate"/>
      </w:r>
      <w:r>
        <w:t>十、其他</w:t>
      </w:r>
      <w:r>
        <w:tab/>
      </w:r>
      <w:r>
        <w:fldChar w:fldCharType="begin"/>
      </w:r>
      <w:r>
        <w:instrText xml:space="preserve"> PAGEREF _Toc23573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_Toc32493 </w:instrText>
      </w:r>
      <w:r>
        <w:rPr>
          <w:rFonts w:hint="eastAsia" w:ascii="宋体" w:hAnsi="宋体" w:eastAsia="宋体" w:cs="宋体"/>
          <w:kern w:val="2"/>
          <w:szCs w:val="24"/>
          <w:highlight w:val="none"/>
        </w:rPr>
        <w:fldChar w:fldCharType="separate"/>
      </w:r>
      <w:r>
        <w:rPr>
          <w:rFonts w:hint="eastAsia"/>
        </w:rPr>
        <w:t>第三章 项目技术、服务及商务要求</w:t>
      </w:r>
      <w:r>
        <w:tab/>
      </w:r>
      <w:r>
        <w:fldChar w:fldCharType="begin"/>
      </w:r>
      <w:r>
        <w:instrText xml:space="preserve"> PAGEREF _Toc32493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_Toc14913 </w:instrText>
      </w:r>
      <w:r>
        <w:rPr>
          <w:rFonts w:hint="eastAsia" w:ascii="宋体" w:hAnsi="宋体" w:eastAsia="宋体" w:cs="宋体"/>
          <w:kern w:val="2"/>
          <w:szCs w:val="24"/>
          <w:highlight w:val="none"/>
        </w:rPr>
        <w:fldChar w:fldCharType="separate"/>
      </w:r>
      <w:r>
        <w:rPr>
          <w:rFonts w:hint="eastAsia" w:ascii="宋体" w:hAnsi="宋体"/>
          <w:highlight w:val="none"/>
        </w:rPr>
        <w:t>一、项目概况</w:t>
      </w:r>
      <w:r>
        <w:tab/>
      </w:r>
      <w:r>
        <w:fldChar w:fldCharType="begin"/>
      </w:r>
      <w:r>
        <w:instrText xml:space="preserve"> PAGEREF _Toc14913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_Toc16611 </w:instrText>
      </w:r>
      <w:r>
        <w:rPr>
          <w:rFonts w:hint="eastAsia" w:ascii="宋体" w:hAnsi="宋体" w:eastAsia="宋体" w:cs="宋体"/>
          <w:kern w:val="2"/>
          <w:szCs w:val="24"/>
          <w:highlight w:val="none"/>
        </w:rPr>
        <w:fldChar w:fldCharType="separate"/>
      </w:r>
      <w:r>
        <w:rPr>
          <w:rFonts w:hint="eastAsia" w:ascii="宋体" w:hAnsi="宋体"/>
          <w:highlight w:val="none"/>
        </w:rPr>
        <w:t>二、技术要求</w:t>
      </w:r>
      <w:r>
        <w:tab/>
      </w:r>
      <w:r>
        <w:fldChar w:fldCharType="begin"/>
      </w:r>
      <w:r>
        <w:instrText xml:space="preserve"> PAGEREF _Toc16611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_Toc22162 </w:instrText>
      </w:r>
      <w:r>
        <w:rPr>
          <w:rFonts w:hint="eastAsia" w:ascii="宋体" w:hAnsi="宋体" w:eastAsia="宋体" w:cs="宋体"/>
          <w:kern w:val="2"/>
          <w:szCs w:val="24"/>
          <w:highlight w:val="none"/>
        </w:rPr>
        <w:fldChar w:fldCharType="separate"/>
      </w:r>
      <w:r>
        <w:rPr>
          <w:rFonts w:hint="eastAsia" w:ascii="宋体" w:hAnsi="宋体"/>
          <w:highlight w:val="none"/>
        </w:rPr>
        <w:t>三、服务要求</w:t>
      </w:r>
      <w:r>
        <w:tab/>
      </w:r>
      <w:r>
        <w:fldChar w:fldCharType="begin"/>
      </w:r>
      <w:r>
        <w:instrText xml:space="preserve"> PAGEREF _Toc22162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_Toc24180 </w:instrText>
      </w:r>
      <w:r>
        <w:rPr>
          <w:rFonts w:hint="eastAsia" w:ascii="宋体" w:hAnsi="宋体" w:eastAsia="宋体" w:cs="宋体"/>
          <w:kern w:val="2"/>
          <w:szCs w:val="24"/>
          <w:highlight w:val="none"/>
        </w:rPr>
        <w:fldChar w:fldCharType="separate"/>
      </w:r>
      <w:r>
        <w:rPr>
          <w:rFonts w:hint="eastAsia" w:ascii="宋体" w:hAnsi="宋体"/>
          <w:highlight w:val="none"/>
        </w:rPr>
        <w:t>四、商务要求</w:t>
      </w:r>
      <w:r>
        <w:tab/>
      </w:r>
      <w:r>
        <w:fldChar w:fldCharType="begin"/>
      </w:r>
      <w:r>
        <w:instrText xml:space="preserve"> PAGEREF _Toc24180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_Toc23281 </w:instrText>
      </w:r>
      <w:r>
        <w:rPr>
          <w:rFonts w:hint="eastAsia" w:ascii="宋体" w:hAnsi="宋体" w:eastAsia="宋体" w:cs="宋体"/>
          <w:kern w:val="2"/>
          <w:szCs w:val="24"/>
          <w:highlight w:val="none"/>
        </w:rPr>
        <w:fldChar w:fldCharType="separate"/>
      </w:r>
      <w:r>
        <w:rPr>
          <w:rFonts w:hint="eastAsia"/>
        </w:rPr>
        <w:t>第四章 响应文件格式</w:t>
      </w:r>
      <w:r>
        <w:tab/>
      </w:r>
      <w:r>
        <w:fldChar w:fldCharType="begin"/>
      </w:r>
      <w:r>
        <w:instrText xml:space="preserve"> PAGEREF _Toc23281 \h </w:instrText>
      </w:r>
      <w:r>
        <w:fldChar w:fldCharType="separate"/>
      </w:r>
      <w:r>
        <w:t>22</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_Toc7231 </w:instrText>
      </w:r>
      <w:r>
        <w:rPr>
          <w:rFonts w:hint="eastAsia" w:ascii="宋体" w:hAnsi="宋体" w:eastAsia="宋体" w:cs="宋体"/>
          <w:kern w:val="2"/>
          <w:szCs w:val="24"/>
          <w:highlight w:val="none"/>
        </w:rPr>
        <w:fldChar w:fldCharType="separate"/>
      </w:r>
      <w:r>
        <w:rPr>
          <w:rFonts w:hint="eastAsia"/>
        </w:rPr>
        <w:t>一、报价函</w:t>
      </w:r>
      <w:r>
        <w:tab/>
      </w:r>
      <w:r>
        <w:fldChar w:fldCharType="begin"/>
      </w:r>
      <w:r>
        <w:instrText xml:space="preserve"> PAGEREF _Toc7231 \h </w:instrText>
      </w:r>
      <w:r>
        <w:fldChar w:fldCharType="separate"/>
      </w:r>
      <w:r>
        <w:t>24</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_Toc6771 </w:instrText>
      </w:r>
      <w:r>
        <w:rPr>
          <w:rFonts w:hint="eastAsia" w:ascii="宋体" w:hAnsi="宋体" w:eastAsia="宋体" w:cs="宋体"/>
          <w:kern w:val="2"/>
          <w:szCs w:val="24"/>
          <w:highlight w:val="none"/>
        </w:rPr>
        <w:fldChar w:fldCharType="separate"/>
      </w:r>
      <w:r>
        <w:rPr>
          <w:rFonts w:hint="eastAsia"/>
        </w:rPr>
        <w:t>二、资格证明材料</w:t>
      </w:r>
      <w:r>
        <w:tab/>
      </w:r>
      <w:r>
        <w:fldChar w:fldCharType="begin"/>
      </w:r>
      <w:r>
        <w:instrText xml:space="preserve"> PAGEREF _Toc6771 \h </w:instrText>
      </w:r>
      <w:r>
        <w:fldChar w:fldCharType="separate"/>
      </w:r>
      <w:r>
        <w:t>25</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_Toc26164 </w:instrText>
      </w:r>
      <w:r>
        <w:rPr>
          <w:rFonts w:hint="eastAsia" w:ascii="宋体" w:hAnsi="宋体" w:eastAsia="宋体" w:cs="宋体"/>
          <w:kern w:val="2"/>
          <w:szCs w:val="24"/>
          <w:highlight w:val="none"/>
        </w:rPr>
        <w:fldChar w:fldCharType="separate"/>
      </w:r>
      <w:r>
        <w:rPr>
          <w:rFonts w:hint="eastAsia"/>
          <w:szCs w:val="32"/>
        </w:rPr>
        <w:t>三、</w:t>
      </w:r>
      <w:r>
        <w:rPr>
          <w:rFonts w:hint="eastAsia"/>
        </w:rPr>
        <w:t>法定代表人</w:t>
      </w:r>
      <w:r>
        <w:rPr>
          <w:rFonts w:hint="eastAsia"/>
          <w:lang w:eastAsia="zh-CN"/>
        </w:rPr>
        <w:t>身份证明文件或</w:t>
      </w:r>
      <w:r>
        <w:rPr>
          <w:rFonts w:hint="eastAsia"/>
        </w:rPr>
        <w:t>法定代表人授权书</w:t>
      </w:r>
      <w:r>
        <w:tab/>
      </w:r>
      <w:r>
        <w:fldChar w:fldCharType="begin"/>
      </w:r>
      <w:r>
        <w:instrText xml:space="preserve"> PAGEREF _Toc26164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_Toc15546 </w:instrText>
      </w:r>
      <w:r>
        <w:rPr>
          <w:rFonts w:hint="eastAsia" w:ascii="宋体" w:hAnsi="宋体" w:eastAsia="宋体" w:cs="宋体"/>
          <w:kern w:val="2"/>
          <w:szCs w:val="24"/>
          <w:highlight w:val="none"/>
        </w:rPr>
        <w:fldChar w:fldCharType="separate"/>
      </w:r>
      <w:r>
        <w:t>四</w:t>
      </w:r>
      <w:r>
        <w:rPr>
          <w:rFonts w:hint="eastAsia"/>
        </w:rPr>
        <w:t>、分项报价表</w:t>
      </w:r>
      <w:r>
        <w:tab/>
      </w:r>
      <w:r>
        <w:fldChar w:fldCharType="begin"/>
      </w:r>
      <w:r>
        <w:instrText xml:space="preserve"> PAGEREF _Toc15546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_Toc29774 </w:instrText>
      </w:r>
      <w:r>
        <w:rPr>
          <w:rFonts w:hint="eastAsia" w:ascii="宋体" w:hAnsi="宋体" w:eastAsia="宋体" w:cs="宋体"/>
          <w:kern w:val="2"/>
          <w:szCs w:val="24"/>
          <w:highlight w:val="none"/>
        </w:rPr>
        <w:fldChar w:fldCharType="separate"/>
      </w:r>
      <w:r>
        <w:t>五</w:t>
      </w:r>
      <w:r>
        <w:rPr>
          <w:rFonts w:hint="eastAsia"/>
        </w:rPr>
        <w:t>、承诺函</w:t>
      </w:r>
      <w:r>
        <w:tab/>
      </w:r>
      <w:r>
        <w:fldChar w:fldCharType="begin"/>
      </w:r>
      <w:r>
        <w:instrText xml:space="preserve"> PAGEREF _Toc29774 \h </w:instrText>
      </w:r>
      <w:r>
        <w:fldChar w:fldCharType="separate"/>
      </w:r>
      <w:r>
        <w:t>28</w:t>
      </w:r>
      <w:r>
        <w:fldChar w:fldCharType="end"/>
      </w:r>
      <w:r>
        <w:rPr>
          <w:rFonts w:hint="eastAsia" w:ascii="宋体" w:hAnsi="宋体" w:eastAsia="宋体" w:cs="宋体"/>
          <w:color w:val="auto"/>
          <w:kern w:val="2"/>
          <w:szCs w:val="24"/>
          <w:highlight w:val="none"/>
        </w:rPr>
        <w:fldChar w:fldCharType="end"/>
      </w:r>
      <w:bookmarkStart w:id="94" w:name="_GoBack"/>
      <w:bookmarkEnd w:id="94"/>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_Toc8186 </w:instrText>
      </w:r>
      <w:r>
        <w:rPr>
          <w:rFonts w:hint="eastAsia" w:ascii="宋体" w:hAnsi="宋体" w:eastAsia="宋体" w:cs="宋体"/>
          <w:kern w:val="2"/>
          <w:szCs w:val="24"/>
          <w:highlight w:val="none"/>
        </w:rPr>
        <w:fldChar w:fldCharType="separate"/>
      </w:r>
      <w:r>
        <w:t>六</w:t>
      </w:r>
      <w:r>
        <w:rPr>
          <w:rFonts w:hint="eastAsia"/>
        </w:rPr>
        <w:t>、竞标人廉洁自律承诺书</w:t>
      </w:r>
      <w:r>
        <w:tab/>
      </w:r>
      <w:r>
        <w:fldChar w:fldCharType="begin"/>
      </w:r>
      <w:r>
        <w:instrText xml:space="preserve"> PAGEREF _Toc8186 \h </w:instrText>
      </w:r>
      <w:r>
        <w:fldChar w:fldCharType="separate"/>
      </w:r>
      <w:r>
        <w:t>29</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_Toc23213 </w:instrText>
      </w:r>
      <w:r>
        <w:rPr>
          <w:rFonts w:hint="eastAsia" w:ascii="宋体" w:hAnsi="宋体" w:eastAsia="宋体" w:cs="宋体"/>
          <w:kern w:val="2"/>
          <w:szCs w:val="24"/>
          <w:highlight w:val="none"/>
        </w:rPr>
        <w:fldChar w:fldCharType="separate"/>
      </w:r>
      <w:r>
        <w:rPr>
          <w:rFonts w:hint="eastAsia"/>
        </w:rPr>
        <w:t>七、供应商基本情况表</w:t>
      </w:r>
      <w:r>
        <w:tab/>
      </w:r>
      <w:r>
        <w:fldChar w:fldCharType="begin"/>
      </w:r>
      <w:r>
        <w:instrText xml:space="preserve"> PAGEREF _Toc23213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_Toc4769 </w:instrText>
      </w:r>
      <w:r>
        <w:rPr>
          <w:rFonts w:hint="eastAsia" w:ascii="宋体" w:hAnsi="宋体" w:eastAsia="宋体" w:cs="宋体"/>
          <w:kern w:val="2"/>
          <w:szCs w:val="24"/>
          <w:highlight w:val="none"/>
        </w:rPr>
        <w:fldChar w:fldCharType="separate"/>
      </w:r>
      <w:r>
        <w:rPr>
          <w:rFonts w:hint="eastAsia"/>
          <w:lang w:val="en-US" w:eastAsia="zh-CN"/>
        </w:rPr>
        <w:t>八</w:t>
      </w:r>
      <w:r>
        <w:rPr>
          <w:rFonts w:hint="eastAsia"/>
        </w:rPr>
        <w:t>、商务、技术、服务要求应答表</w:t>
      </w:r>
      <w:r>
        <w:tab/>
      </w:r>
      <w:r>
        <w:fldChar w:fldCharType="begin"/>
      </w:r>
      <w:r>
        <w:instrText xml:space="preserve"> PAGEREF _Toc4769 \h </w:instrText>
      </w:r>
      <w:r>
        <w:fldChar w:fldCharType="separate"/>
      </w:r>
      <w:r>
        <w:t>31</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_Toc3854 </w:instrText>
      </w:r>
      <w:r>
        <w:rPr>
          <w:rFonts w:hint="eastAsia" w:ascii="宋体" w:hAnsi="宋体" w:eastAsia="宋体" w:cs="宋体"/>
          <w:kern w:val="2"/>
          <w:szCs w:val="24"/>
          <w:highlight w:val="none"/>
        </w:rPr>
        <w:fldChar w:fldCharType="separate"/>
      </w:r>
      <w:r>
        <w:rPr>
          <w:rFonts w:hint="eastAsia"/>
          <w:lang w:val="en-US" w:eastAsia="zh-CN"/>
        </w:rPr>
        <w:t>九</w:t>
      </w:r>
      <w:r>
        <w:rPr>
          <w:rFonts w:hint="eastAsia"/>
        </w:rPr>
        <w:t>、报价产品技术参数表</w:t>
      </w:r>
      <w:r>
        <w:tab/>
      </w:r>
      <w:r>
        <w:fldChar w:fldCharType="begin"/>
      </w:r>
      <w:r>
        <w:instrText xml:space="preserve"> PAGEREF _Toc3854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_Toc22424 </w:instrText>
      </w:r>
      <w:r>
        <w:rPr>
          <w:rFonts w:hint="eastAsia" w:ascii="宋体" w:hAnsi="宋体" w:eastAsia="宋体" w:cs="宋体"/>
          <w:kern w:val="2"/>
          <w:szCs w:val="24"/>
          <w:highlight w:val="none"/>
        </w:rPr>
        <w:fldChar w:fldCharType="separate"/>
      </w:r>
      <w:r>
        <w:rPr>
          <w:rFonts w:hint="eastAsia"/>
        </w:rPr>
        <w:t>第五章 保证金退还申请书</w:t>
      </w:r>
      <w:r>
        <w:tab/>
      </w:r>
      <w:r>
        <w:fldChar w:fldCharType="begin"/>
      </w:r>
      <w:r>
        <w:instrText xml:space="preserve"> PAGEREF _Toc22424 \h </w:instrText>
      </w:r>
      <w:r>
        <w:fldChar w:fldCharType="separate"/>
      </w:r>
      <w:r>
        <w:t>33</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_Toc1148 </w:instrText>
      </w:r>
      <w:r>
        <w:rPr>
          <w:rFonts w:hint="eastAsia" w:ascii="宋体" w:hAnsi="宋体" w:eastAsia="宋体" w:cs="宋体"/>
          <w:kern w:val="2"/>
          <w:szCs w:val="24"/>
          <w:highlight w:val="none"/>
        </w:rPr>
        <w:fldChar w:fldCharType="separate"/>
      </w:r>
      <w:r>
        <w:t>第六章</w:t>
      </w:r>
      <w:r>
        <w:rPr>
          <w:rFonts w:hint="eastAsia"/>
        </w:rPr>
        <w:t xml:space="preserve"> </w:t>
      </w:r>
      <w:r>
        <w:t>评审方法</w:t>
      </w:r>
      <w:r>
        <w:tab/>
      </w:r>
      <w:r>
        <w:fldChar w:fldCharType="begin"/>
      </w:r>
      <w:r>
        <w:instrText xml:space="preserve"> PAGEREF _Toc1148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_Toc27258 </w:instrText>
      </w:r>
      <w:r>
        <w:rPr>
          <w:rFonts w:hint="eastAsia" w:ascii="宋体" w:hAnsi="宋体" w:eastAsia="宋体" w:cs="宋体"/>
          <w:kern w:val="2"/>
          <w:szCs w:val="24"/>
          <w:highlight w:val="none"/>
        </w:rPr>
        <w:fldChar w:fldCharType="separate"/>
      </w:r>
      <w:r>
        <w:rPr>
          <w:rFonts w:hint="eastAsia" w:ascii="宋体" w:hAnsi="宋体"/>
          <w:bCs/>
          <w:highlight w:val="none"/>
        </w:rPr>
        <w:t>一、询价程序</w:t>
      </w:r>
      <w:r>
        <w:tab/>
      </w:r>
      <w:r>
        <w:fldChar w:fldCharType="begin"/>
      </w:r>
      <w:r>
        <w:instrText xml:space="preserve"> PAGEREF _Toc27258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_Toc12787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fldChar w:fldCharType="begin"/>
      </w:r>
      <w:r>
        <w:instrText xml:space="preserve"> PAGEREF _Toc12787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_Toc28890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fldChar w:fldCharType="begin"/>
      </w:r>
      <w:r>
        <w:instrText xml:space="preserve"> PAGEREF _Toc28890 \h </w:instrText>
      </w:r>
      <w:r>
        <w:fldChar w:fldCharType="separate"/>
      </w:r>
      <w:r>
        <w:t>36</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_Toc12062 </w:instrText>
      </w:r>
      <w:r>
        <w:rPr>
          <w:rFonts w:hint="eastAsia" w:ascii="宋体" w:hAnsi="宋体" w:eastAsia="宋体" w:cs="宋体"/>
          <w:kern w:val="2"/>
          <w:szCs w:val="24"/>
          <w:highlight w:val="none"/>
        </w:rPr>
        <w:fldChar w:fldCharType="separate"/>
      </w:r>
      <w:r>
        <w:rPr>
          <w:rFonts w:hint="eastAsia"/>
        </w:rPr>
        <w:t>第七章 采购合同（草案）</w:t>
      </w:r>
      <w:r>
        <w:tab/>
      </w:r>
      <w:r>
        <w:fldChar w:fldCharType="begin"/>
      </w:r>
      <w:r>
        <w:instrText xml:space="preserve"> PAGEREF _Toc12062 \h </w:instrText>
      </w:r>
      <w:r>
        <w:fldChar w:fldCharType="separate"/>
      </w:r>
      <w:r>
        <w:t>38</w:t>
      </w:r>
      <w:r>
        <w:fldChar w:fldCharType="end"/>
      </w:r>
      <w:r>
        <w:rPr>
          <w:rFonts w:hint="eastAsia" w:ascii="宋体" w:hAnsi="宋体" w:eastAsia="宋体" w:cs="宋体"/>
          <w:color w:val="auto"/>
          <w:kern w:val="2"/>
          <w:szCs w:val="24"/>
          <w:highlight w:val="none"/>
        </w:rPr>
        <w:fldChar w:fldCharType="end"/>
      </w:r>
    </w:p>
    <w:p>
      <w:pPr>
        <w:pStyle w:val="22"/>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5" w:name="_Toc91771146"/>
      <w:bookmarkStart w:id="6" w:name="_Toc18450"/>
      <w:r>
        <w:rPr>
          <w:rStyle w:val="31"/>
          <w:rFonts w:hint="eastAsia"/>
        </w:rPr>
        <w:t>第一章 询价邀请公告</w:t>
      </w:r>
      <w:bookmarkEnd w:id="5"/>
      <w:bookmarkEnd w:id="6"/>
    </w:p>
    <w:p>
      <w:pPr>
        <w:spacing w:line="360" w:lineRule="auto"/>
        <w:ind w:firstLine="720" w:firstLineChars="300"/>
        <w:jc w:val="left"/>
        <w:rPr>
          <w:color w:val="auto"/>
          <w:sz w:val="24"/>
          <w:szCs w:val="28"/>
          <w:highlight w:val="none"/>
        </w:rPr>
      </w:pPr>
      <w:r>
        <w:rPr>
          <w:color w:val="auto"/>
          <w:sz w:val="24"/>
          <w:highlight w:val="none"/>
        </w:rPr>
        <w:t>根据公司生产经营需要，拟对</w:t>
      </w:r>
      <w:r>
        <w:rPr>
          <w:bCs/>
          <w:color w:val="auto"/>
          <w:sz w:val="24"/>
          <w:highlight w:val="none"/>
          <w:u w:val="single"/>
        </w:rPr>
        <w:t xml:space="preserve"> </w:t>
      </w:r>
      <w:r>
        <w:rPr>
          <w:rFonts w:hint="eastAsia"/>
          <w:bCs/>
          <w:color w:val="auto"/>
          <w:sz w:val="24"/>
          <w:highlight w:val="none"/>
          <w:u w:val="single"/>
          <w:lang w:val="en-US" w:eastAsia="zh-CN"/>
        </w:rPr>
        <w:t>电动三轮摩托车</w:t>
      </w:r>
      <w:r>
        <w:rPr>
          <w:rFonts w:hint="eastAsia" w:ascii="宋体" w:hAnsi="宋体" w:cs="宋体"/>
          <w:color w:val="auto"/>
          <w:sz w:val="24"/>
          <w:szCs w:val="24"/>
          <w:u w:val="single"/>
          <w:lang w:val="en-US" w:eastAsia="zh-CN"/>
        </w:rPr>
        <w:t>采购</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 xml:space="preserve">XYCG【2025】088 </w:t>
      </w:r>
      <w:r>
        <w:rPr>
          <w:color w:val="auto"/>
          <w:sz w:val="24"/>
          <w:highlight w:val="none"/>
        </w:rPr>
        <w:t>号。</w:t>
      </w:r>
    </w:p>
    <w:p>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val="en-US" w:eastAsia="zh-CN"/>
        </w:rPr>
        <w:t>电动三轮摩托车采购项目</w:t>
      </w:r>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泸州市江阳区醉美城市公园管理有限公司</w:t>
      </w:r>
      <w:r>
        <w:rPr>
          <w:color w:val="auto"/>
          <w:sz w:val="24"/>
          <w:highlight w:val="none"/>
        </w:rPr>
        <w:t>。</w:t>
      </w:r>
    </w:p>
    <w:p>
      <w:pPr>
        <w:spacing w:line="360" w:lineRule="auto"/>
        <w:ind w:firstLine="480" w:firstLineChars="200"/>
        <w:rPr>
          <w:color w:val="auto"/>
          <w:sz w:val="24"/>
          <w:highlight w:val="none"/>
        </w:rPr>
      </w:pPr>
      <w:r>
        <w:rPr>
          <w:color w:val="auto"/>
          <w:sz w:val="24"/>
          <w:highlight w:val="none"/>
        </w:rPr>
        <w:t>4.服务期限（工期）：</w:t>
      </w:r>
      <w:r>
        <w:rPr>
          <w:rFonts w:hint="eastAsia"/>
          <w:color w:val="auto"/>
          <w:sz w:val="24"/>
          <w:highlight w:val="none"/>
          <w:lang w:val="en-US" w:eastAsia="zh-CN"/>
        </w:rPr>
        <w:t>合同签订后15个日历日内</w:t>
      </w:r>
      <w:r>
        <w:rPr>
          <w:color w:val="auto"/>
          <w:sz w:val="24"/>
          <w:highlight w:val="none"/>
        </w:rPr>
        <w:t>。</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 xml:space="preserve"> 资金，</w:t>
      </w:r>
      <w:r>
        <w:rPr>
          <w:b/>
          <w:bCs/>
          <w:color w:val="auto"/>
          <w:highlight w:val="none"/>
        </w:rPr>
        <w:t>最高限价为</w:t>
      </w:r>
      <w:r>
        <w:rPr>
          <w:rFonts w:hint="eastAsia"/>
          <w:b/>
          <w:bCs/>
          <w:color w:val="auto"/>
          <w:highlight w:val="none"/>
          <w:lang w:val="en-US" w:eastAsia="zh-CN"/>
        </w:rPr>
        <w:t>65000</w:t>
      </w:r>
      <w:r>
        <w:rPr>
          <w:b/>
          <w:bCs/>
          <w:color w:val="auto"/>
          <w:highlight w:val="none"/>
        </w:rPr>
        <w:t>元</w:t>
      </w:r>
      <w:r>
        <w:rPr>
          <w:color w:val="auto"/>
          <w:sz w:val="24"/>
          <w:highlight w:val="none"/>
        </w:rPr>
        <w:t>。</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spacing w:after="120" w:line="360" w:lineRule="auto"/>
        <w:ind w:firstLine="480" w:firstLineChars="200"/>
        <w:rPr>
          <w:color w:val="auto"/>
          <w:sz w:val="24"/>
          <w:szCs w:val="28"/>
          <w:highlight w:val="none"/>
        </w:rPr>
      </w:pPr>
      <w:r>
        <w:rPr>
          <w:rFonts w:hint="eastAsia"/>
          <w:color w:val="auto"/>
          <w:sz w:val="24"/>
          <w:szCs w:val="28"/>
          <w:highlight w:val="none"/>
          <w:lang w:val="en-US" w:eastAsia="zh-CN"/>
        </w:rPr>
        <w:t>我司因环卫工人工作开展需要，需采购10台240L垃圾桶专用电动三轮摩托车，暂定单价为6500元/台，总费用65000元，按实结算。</w:t>
      </w: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5"/>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5"/>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w:t>
      </w:r>
      <w:r>
        <w:rPr>
          <w:bCs/>
          <w:color w:val="auto"/>
          <w:sz w:val="24"/>
          <w:highlight w:val="none"/>
        </w:rPr>
        <w:t xml:space="preserve"> 。</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
          <w:color w:val="auto"/>
          <w:sz w:val="24"/>
          <w:highlight w:val="none"/>
          <w:lang w:val="en-US" w:eastAsia="zh-CN"/>
        </w:rPr>
        <w:t>2026</w:t>
      </w:r>
      <w:r>
        <w:rPr>
          <w:b/>
          <w:bCs w:val="0"/>
          <w:color w:val="auto"/>
          <w:sz w:val="24"/>
          <w:highlight w:val="none"/>
        </w:rPr>
        <w:t>年</w:t>
      </w:r>
      <w:r>
        <w:rPr>
          <w:rFonts w:hint="eastAsia"/>
          <w:b/>
          <w:bCs w:val="0"/>
          <w:color w:val="auto"/>
          <w:sz w:val="24"/>
          <w:highlight w:val="none"/>
          <w:lang w:val="en-US" w:eastAsia="zh-CN"/>
        </w:rPr>
        <w:t>1</w:t>
      </w:r>
      <w:r>
        <w:rPr>
          <w:b/>
          <w:bCs w:val="0"/>
          <w:color w:val="auto"/>
          <w:sz w:val="24"/>
          <w:highlight w:val="none"/>
        </w:rPr>
        <w:t>月</w:t>
      </w:r>
      <w:r>
        <w:rPr>
          <w:rFonts w:hint="eastAsia"/>
          <w:b/>
          <w:bCs w:val="0"/>
          <w:color w:val="auto"/>
          <w:sz w:val="24"/>
          <w:highlight w:val="none"/>
          <w:lang w:val="en-US" w:eastAsia="zh-CN"/>
        </w:rPr>
        <w:t>7</w:t>
      </w:r>
      <w:r>
        <w:rPr>
          <w:b/>
          <w:bCs w:val="0"/>
          <w:color w:val="auto"/>
          <w:sz w:val="24"/>
          <w:highlight w:val="none"/>
        </w:rPr>
        <w:t>日</w:t>
      </w:r>
      <w:r>
        <w:rPr>
          <w:rFonts w:hint="eastAsia"/>
          <w:b/>
          <w:bCs w:val="0"/>
          <w:color w:val="auto"/>
          <w:sz w:val="24"/>
          <w:highlight w:val="none"/>
          <w:lang w:val="en-US" w:eastAsia="zh-CN"/>
        </w:rPr>
        <w:t>09:30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0"/>
          <w:rFonts w:hint="eastAsia" w:ascii="宋体" w:hAnsi="宋体" w:eastAsia="宋体" w:cs="宋体"/>
          <w:b/>
          <w:bCs/>
          <w:color w:val="auto"/>
          <w:sz w:val="24"/>
          <w:szCs w:val="24"/>
          <w:highlight w:val="none"/>
          <w:u w:val="none"/>
          <w:lang w:eastAsia="zh-CN"/>
        </w:rPr>
        <w:t>□</w:t>
      </w:r>
      <w:r>
        <w:rPr>
          <w:rStyle w:val="20"/>
          <w:rFonts w:hint="eastAsia" w:ascii="宋体" w:hAnsi="宋体" w:eastAsia="宋体" w:cs="宋体"/>
          <w:bCs/>
          <w:color w:val="auto"/>
          <w:sz w:val="24"/>
          <w:szCs w:val="24"/>
          <w:highlight w:val="none"/>
          <w:u w:val="none"/>
        </w:rPr>
        <w:t>本次采购</w:t>
      </w:r>
      <w:r>
        <w:rPr>
          <w:rStyle w:val="20"/>
          <w:rFonts w:hint="eastAsia" w:ascii="宋体" w:hAnsi="宋体" w:eastAsia="宋体" w:cs="宋体"/>
          <w:bCs/>
          <w:color w:val="auto"/>
          <w:sz w:val="24"/>
          <w:szCs w:val="24"/>
          <w:highlight w:val="none"/>
          <w:u w:val="none"/>
          <w:lang w:val="en-US" w:eastAsia="zh-CN"/>
        </w:rPr>
        <w:t>只</w:t>
      </w:r>
      <w:r>
        <w:rPr>
          <w:rStyle w:val="20"/>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0"/>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0"/>
          <w:rFonts w:hint="eastAsia" w:ascii="宋体" w:hAnsi="宋体" w:eastAsia="宋体" w:cs="宋体"/>
          <w:bCs/>
          <w:color w:val="auto"/>
          <w:sz w:val="24"/>
          <w:szCs w:val="24"/>
          <w:highlight w:val="none"/>
          <w:u w:val="none"/>
        </w:rPr>
        <w:t>电子邮箱</w:t>
      </w:r>
      <w:r>
        <w:rPr>
          <w:rStyle w:val="20"/>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0"/>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3"/>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lang w:val="en-US" w:eastAsia="zh-CN"/>
        </w:rPr>
        <w:t>泸州市江阳区醉美城市公园管理有限公司</w:t>
      </w:r>
      <w:r>
        <w:rPr>
          <w:color w:val="auto"/>
          <w:sz w:val="24"/>
          <w:highlight w:val="none"/>
        </w:rPr>
        <w:t xml:space="preserve"> </w:t>
      </w:r>
    </w:p>
    <w:p>
      <w:pPr>
        <w:pStyle w:val="25"/>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lang w:val="en-US" w:eastAsia="zh-CN"/>
        </w:rPr>
        <w:t>泸州市江阳区华阳街道胜景南路53号1栋二层</w:t>
      </w:r>
      <w:r>
        <w:rPr>
          <w:color w:val="auto"/>
          <w:kern w:val="0"/>
          <w:sz w:val="24"/>
          <w:highlight w:val="none"/>
        </w:rPr>
        <w:t xml:space="preserve"> </w:t>
      </w:r>
    </w:p>
    <w:p>
      <w:pPr>
        <w:pStyle w:val="25"/>
        <w:ind w:firstLine="480"/>
        <w:rPr>
          <w:color w:val="auto"/>
          <w:sz w:val="24"/>
          <w:highlight w:val="none"/>
        </w:rPr>
      </w:pPr>
      <w:r>
        <w:rPr>
          <w:color w:val="auto"/>
          <w:sz w:val="24"/>
          <w:highlight w:val="none"/>
        </w:rPr>
        <w:t xml:space="preserve">联系人： </w:t>
      </w:r>
      <w:r>
        <w:rPr>
          <w:rFonts w:hint="eastAsia"/>
          <w:color w:val="auto"/>
          <w:sz w:val="24"/>
          <w:highlight w:val="none"/>
          <w:lang w:val="en-US" w:eastAsia="zh-CN"/>
        </w:rPr>
        <w:t>李女士</w:t>
      </w:r>
      <w:r>
        <w:rPr>
          <w:color w:val="auto"/>
          <w:sz w:val="24"/>
          <w:highlight w:val="none"/>
        </w:rPr>
        <w:t xml:space="preserve"> </w:t>
      </w:r>
    </w:p>
    <w:p>
      <w:pPr>
        <w:pStyle w:val="25"/>
        <w:ind w:firstLine="480"/>
        <w:rPr>
          <w:color w:val="auto"/>
          <w:sz w:val="24"/>
          <w:highlight w:val="none"/>
        </w:rPr>
      </w:pPr>
      <w:r>
        <w:rPr>
          <w:color w:val="auto"/>
          <w:sz w:val="24"/>
          <w:highlight w:val="none"/>
        </w:rPr>
        <w:t xml:space="preserve">联系电话：  </w:t>
      </w:r>
      <w:r>
        <w:rPr>
          <w:rFonts w:hint="eastAsia"/>
          <w:color w:val="auto"/>
          <w:sz w:val="24"/>
          <w:highlight w:val="none"/>
          <w:lang w:val="en-US" w:eastAsia="zh-CN"/>
        </w:rPr>
        <w:t>0830-6661300</w:t>
      </w:r>
      <w:r>
        <w:rPr>
          <w:color w:val="auto"/>
          <w:sz w:val="24"/>
          <w:highlight w:val="none"/>
        </w:rPr>
        <w:t xml:space="preserve">            </w:t>
      </w:r>
    </w:p>
    <w:p>
      <w:pPr>
        <w:pStyle w:val="15"/>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监督电话：0830-</w:t>
      </w:r>
      <w:bookmarkStart w:id="7" w:name="OLE_LINK4"/>
      <w:r>
        <w:rPr>
          <w:rFonts w:hint="eastAsia" w:ascii="Times New Roman" w:hAnsi="Times New Roman"/>
          <w:color w:val="auto"/>
          <w:sz w:val="24"/>
          <w:highlight w:val="none"/>
          <w:lang w:val="en-US" w:eastAsia="zh-CN"/>
        </w:rPr>
        <w:t>6523011</w:t>
      </w:r>
      <w:bookmarkEnd w:id="7"/>
    </w:p>
    <w:p>
      <w:pPr>
        <w:pStyle w:val="15"/>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2025</w:t>
      </w:r>
      <w:r>
        <w:rPr>
          <w:rFonts w:ascii="Times New Roman" w:hAnsi="Times New Roman"/>
          <w:color w:val="auto"/>
          <w:sz w:val="24"/>
          <w:szCs w:val="24"/>
          <w:highlight w:val="none"/>
        </w:rPr>
        <w:t xml:space="preserve">年 </w:t>
      </w:r>
      <w:r>
        <w:rPr>
          <w:rFonts w:hint="eastAsia" w:ascii="Times New Roman" w:hAnsi="Times New Roman"/>
          <w:color w:val="auto"/>
          <w:sz w:val="24"/>
          <w:szCs w:val="24"/>
          <w:highlight w:val="none"/>
          <w:lang w:val="en-US" w:eastAsia="zh-CN"/>
        </w:rPr>
        <w:t>12</w:t>
      </w:r>
      <w:r>
        <w:rPr>
          <w:rFonts w:ascii="Times New Roman" w:hAnsi="Times New Roman"/>
          <w:color w:val="auto"/>
          <w:sz w:val="24"/>
          <w:szCs w:val="24"/>
          <w:highlight w:val="none"/>
        </w:rPr>
        <w:t xml:space="preserve"> 月  </w:t>
      </w:r>
      <w:r>
        <w:rPr>
          <w:rFonts w:hint="eastAsia" w:ascii="Times New Roman" w:hAnsi="Times New Roman"/>
          <w:color w:val="auto"/>
          <w:sz w:val="24"/>
          <w:szCs w:val="24"/>
          <w:highlight w:val="none"/>
          <w:lang w:val="en-US" w:eastAsia="zh-CN"/>
        </w:rPr>
        <w:t>31</w:t>
      </w:r>
      <w:r>
        <w:rPr>
          <w:rFonts w:ascii="Times New Roman" w:hAnsi="Times New Roman"/>
          <w:color w:val="auto"/>
          <w:sz w:val="24"/>
          <w:szCs w:val="24"/>
          <w:highlight w:val="none"/>
        </w:rPr>
        <w:t xml:space="preserve"> 日</w:t>
      </w:r>
    </w:p>
    <w:p>
      <w:pPr>
        <w:pStyle w:val="15"/>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8" w:name="_Toc91771147"/>
      <w:bookmarkStart w:id="9" w:name="_Toc29638"/>
      <w:r>
        <w:rPr>
          <w:rStyle w:val="31"/>
          <w:rFonts w:hint="eastAsia"/>
        </w:rPr>
        <w:t>第二章 询价须知</w:t>
      </w:r>
      <w:bookmarkEnd w:id="8"/>
      <w:bookmarkEnd w:id="9"/>
    </w:p>
    <w:p>
      <w:pPr>
        <w:spacing w:after="240" w:afterLines="100"/>
        <w:jc w:val="center"/>
        <w:outlineLvl w:val="1"/>
        <w:rPr>
          <w:rFonts w:hint="eastAsia" w:ascii="宋体" w:hAnsi="宋体"/>
          <w:b/>
          <w:color w:val="auto"/>
          <w:sz w:val="32"/>
          <w:highlight w:val="none"/>
        </w:rPr>
      </w:pPr>
      <w:bookmarkStart w:id="10" w:name="_Toc91771148"/>
      <w:bookmarkStart w:id="11" w:name="_Toc31669"/>
      <w:r>
        <w:rPr>
          <w:rFonts w:hint="eastAsia" w:ascii="宋体" w:hAnsi="宋体"/>
          <w:b/>
          <w:color w:val="auto"/>
          <w:sz w:val="32"/>
          <w:highlight w:val="none"/>
        </w:rPr>
        <w:t>一、供应商须知前附表</w:t>
      </w:r>
      <w:bookmarkEnd w:id="10"/>
      <w:bookmarkEnd w:id="11"/>
    </w:p>
    <w:tbl>
      <w:tblPr>
        <w:tblStyle w:val="16"/>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6"/>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6"/>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6"/>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6"/>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6"/>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采购预算</w:t>
            </w:r>
          </w:p>
          <w:p>
            <w:pPr>
              <w:pStyle w:val="26"/>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highlight w:val="none"/>
                <w:lang w:val="en-US" w:eastAsia="zh-CN"/>
              </w:rPr>
              <w:t>65000</w:t>
            </w:r>
            <w:r>
              <w:rPr>
                <w:rFonts w:hint="eastAsia"/>
                <w:color w:val="auto"/>
                <w:highlight w:val="none"/>
                <w:lang w:val="zh-CN"/>
              </w:rPr>
              <w:t>元；</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6"/>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最高限价</w:t>
            </w:r>
          </w:p>
          <w:p>
            <w:pPr>
              <w:pStyle w:val="26"/>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color w:val="auto"/>
                <w:highlight w:val="none"/>
                <w:lang w:val="en-US" w:eastAsia="zh-CN"/>
              </w:rPr>
              <w:t>65000</w:t>
            </w:r>
            <w:r>
              <w:rPr>
                <w:rFonts w:hint="eastAsia"/>
                <w:color w:val="auto"/>
                <w:highlight w:val="none"/>
                <w:lang w:val="zh-CN"/>
              </w:rPr>
              <w:t>元；</w:t>
            </w:r>
          </w:p>
          <w:p>
            <w:pPr>
              <w:pStyle w:val="26"/>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pPr>
              <w:pStyle w:val="26"/>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6"/>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6"/>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6"/>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6"/>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6"/>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6"/>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en-US" w:eastAsia="zh-CN"/>
              </w:rPr>
              <w:t>保证金退还申请表、</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6"/>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6"/>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6"/>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6"/>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6"/>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lang w:val="en-US" w:eastAsia="zh-CN"/>
              </w:rPr>
              <w:t>0</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6"/>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6"/>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6"/>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6"/>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pPr>
              <w:pStyle w:val="26"/>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6"/>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pPr>
              <w:pStyle w:val="26"/>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6"/>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6"/>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6"/>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500</w:t>
            </w:r>
            <w:r>
              <w:rPr>
                <w:rFonts w:hint="eastAsia"/>
                <w:color w:val="auto"/>
                <w:highlight w:val="none"/>
                <w:lang w:bidi="ar"/>
              </w:rPr>
              <w:t>元（大写：</w:t>
            </w:r>
            <w:r>
              <w:rPr>
                <w:rFonts w:hint="eastAsia"/>
                <w:color w:val="auto"/>
                <w:highlight w:val="none"/>
                <w:lang w:val="en-US" w:eastAsia="zh-CN" w:bidi="ar"/>
              </w:rPr>
              <w:t>伍佰</w:t>
            </w:r>
            <w:r>
              <w:rPr>
                <w:rFonts w:hint="eastAsia"/>
                <w:color w:val="auto"/>
                <w:highlight w:val="none"/>
                <w:lang w:bidi="ar"/>
              </w:rPr>
              <w:t>整）</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color w:val="auto"/>
                <w:highlight w:val="none"/>
                <w:lang w:val="en-US" w:eastAsia="zh-CN"/>
              </w:rPr>
              <w:t>电动三轮摩托车采购项目</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pPr>
              <w:pStyle w:val="26"/>
              <w:spacing w:line="300" w:lineRule="auto"/>
              <w:ind w:firstLine="240" w:firstLineChars="100"/>
              <w:jc w:val="both"/>
              <w:rPr>
                <w:rFonts w:hint="eastAsia"/>
                <w:color w:val="auto"/>
                <w:highlight w:val="none"/>
                <w:lang w:val="en-US" w:eastAsia="zh-CN"/>
              </w:rPr>
            </w:pPr>
            <w:r>
              <w:rPr>
                <w:rFonts w:hint="eastAsia"/>
                <w:color w:val="auto"/>
                <w:highlight w:val="none"/>
                <w:lang w:val="zh-CN"/>
              </w:rPr>
              <w:t>联系人：</w:t>
            </w:r>
            <w:r>
              <w:rPr>
                <w:rFonts w:hint="eastAsia"/>
                <w:color w:val="auto"/>
                <w:highlight w:val="none"/>
                <w:lang w:val="en-US" w:eastAsia="zh-CN"/>
              </w:rPr>
              <w:t>李女士</w:t>
            </w:r>
          </w:p>
          <w:p>
            <w:pPr>
              <w:pStyle w:val="26"/>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联系电话：</w:t>
            </w:r>
            <w:r>
              <w:rPr>
                <w:rFonts w:hint="eastAsia"/>
                <w:color w:val="auto"/>
                <w:highlight w:val="none"/>
                <w:lang w:val="en-US" w:eastAsia="zh-CN"/>
              </w:rPr>
              <w:t>0830-6661300</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6"/>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6"/>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pPr>
              <w:pStyle w:val="26"/>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pPr>
              <w:pStyle w:val="26"/>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pPr>
              <w:pStyle w:val="26"/>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6"/>
              <w:spacing w:line="300" w:lineRule="auto"/>
              <w:ind w:firstLine="241" w:firstLineChars="100"/>
              <w:jc w:val="both"/>
              <w:rPr>
                <w:rFonts w:hint="eastAsia"/>
                <w:color w:val="auto"/>
                <w:highlight w:val="none"/>
                <w:lang w:val="zh-CN"/>
              </w:rPr>
            </w:pPr>
            <w:r>
              <w:rPr>
                <w:rFonts w:hint="eastAsia"/>
                <w:b/>
                <w:bCs/>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6"/>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 xml:space="preserve"> </w:t>
            </w:r>
            <w:r>
              <w:rPr>
                <w:rFonts w:hint="eastAsia" w:cs="宋体"/>
                <w:color w:val="auto"/>
                <w:sz w:val="24"/>
                <w:szCs w:val="24"/>
                <w:highlight w:val="none"/>
                <w:lang w:val="en-US" w:eastAsia="zh-CN" w:bidi="ar"/>
              </w:rPr>
              <w:t>泸州市江阳区醉美城市公园管理有限公司</w:t>
            </w:r>
            <w:r>
              <w:rPr>
                <w:rFonts w:hint="eastAsia" w:cs="宋体"/>
                <w:color w:val="auto"/>
                <w:sz w:val="24"/>
                <w:szCs w:val="24"/>
                <w:highlight w:val="none"/>
                <w:lang w:bidi="ar"/>
              </w:rPr>
              <w:t xml:space="preserve"> </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李女士</w:t>
            </w:r>
            <w:r>
              <w:rPr>
                <w:rFonts w:hint="eastAsia" w:ascii="宋体" w:hAnsi="宋体" w:cs="宋体"/>
                <w:color w:val="auto"/>
                <w:kern w:val="0"/>
                <w:sz w:val="24"/>
                <w:highlight w:val="none"/>
              </w:rPr>
              <w:t xml:space="preserve">  </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6"/>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6"/>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olor w:val="auto"/>
                <w:highlight w:val="none"/>
                <w:lang w:val="en-US" w:eastAsia="zh-CN"/>
              </w:rPr>
              <w:t>李女士</w:t>
            </w:r>
            <w:r>
              <w:rPr>
                <w:rFonts w:hint="eastAsia"/>
                <w:color w:val="auto"/>
                <w:highlight w:val="none"/>
              </w:rPr>
              <w:t xml:space="preserve"> 。</w:t>
            </w:r>
          </w:p>
          <w:p>
            <w:pPr>
              <w:pStyle w:val="26"/>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6"/>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6"/>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lang w:val="en-US" w:eastAsia="zh-CN"/>
              </w:rPr>
              <w:t>李女士</w:t>
            </w:r>
            <w:r>
              <w:rPr>
                <w:rFonts w:hint="eastAsia"/>
                <w:color w:val="auto"/>
                <w:highlight w:val="none"/>
              </w:rPr>
              <w:t xml:space="preserve"> </w:t>
            </w:r>
          </w:p>
          <w:p>
            <w:pPr>
              <w:pStyle w:val="26"/>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p>
          <w:p>
            <w:pPr>
              <w:pStyle w:val="26"/>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6"/>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6"/>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w:t>
            </w:r>
            <w:r>
              <w:rPr>
                <w:rFonts w:hint="eastAsia"/>
                <w:color w:val="auto"/>
                <w:highlight w:val="none"/>
              </w:rPr>
              <w:t xml:space="preserve">先生 </w:t>
            </w:r>
            <w:r>
              <w:rPr>
                <w:rFonts w:hint="eastAsia"/>
                <w:color w:val="auto"/>
                <w:highlight w:val="none"/>
                <w:lang w:val="zh-CN"/>
              </w:rPr>
              <w:t>。</w:t>
            </w:r>
          </w:p>
          <w:p>
            <w:pPr>
              <w:pStyle w:val="26"/>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w:t>
            </w:r>
            <w:r>
              <w:rPr>
                <w:rFonts w:hint="eastAsia" w:ascii="Times New Roman" w:hAnsi="Times New Roman"/>
                <w:color w:val="auto"/>
                <w:sz w:val="24"/>
                <w:highlight w:val="none"/>
                <w:lang w:val="en-US" w:eastAsia="zh-CN"/>
              </w:rPr>
              <w:t>6523011</w:t>
            </w:r>
            <w:r>
              <w:rPr>
                <w:rFonts w:hint="eastAsia"/>
                <w:color w:val="auto"/>
                <w:highlight w:val="none"/>
                <w:lang w:val="zh-CN"/>
              </w:rPr>
              <w:t>。</w:t>
            </w:r>
          </w:p>
          <w:p>
            <w:pPr>
              <w:pStyle w:val="25"/>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6"/>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pPr>
              <w:pStyle w:val="26"/>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6"/>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2026</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09:30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签订合同后</w:t>
            </w:r>
            <w:r>
              <w:rPr>
                <w:rFonts w:hint="eastAsia" w:ascii="宋体" w:hAnsi="宋体" w:cs="宋体"/>
                <w:color w:val="auto"/>
                <w:sz w:val="24"/>
                <w:highlight w:val="none"/>
                <w:lang w:val="en-US" w:eastAsia="zh-CN"/>
              </w:rPr>
              <w:t>15个日历日内</w:t>
            </w:r>
            <w:r>
              <w:rPr>
                <w:rFonts w:hint="eastAsia" w:ascii="宋体" w:hAnsi="宋体" w:cs="宋体"/>
                <w:color w:val="auto"/>
                <w:sz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6"/>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6"/>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w:t>
            </w:r>
            <w:r>
              <w:rPr>
                <w:rFonts w:hint="eastAsia"/>
                <w:i/>
                <w:iCs/>
                <w:color w:val="auto"/>
                <w:kern w:val="2"/>
                <w:highlight w:val="none"/>
              </w:rPr>
              <w:t>内含</w:t>
            </w:r>
            <w:r>
              <w:rPr>
                <w:rStyle w:val="20"/>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6"/>
              <w:spacing w:line="300" w:lineRule="auto"/>
              <w:ind w:firstLine="240" w:firstLineChars="100"/>
              <w:rPr>
                <w:rFonts w:hint="eastAsia"/>
                <w:color w:val="auto"/>
                <w:highlight w:val="none"/>
                <w:lang w:val="zh-CN"/>
              </w:rPr>
            </w:pPr>
            <w:r>
              <w:rPr>
                <w:rFonts w:hint="eastAsia" w:ascii="Times New Roman" w:hAnsi="Times New Roman"/>
                <w:color w:val="auto"/>
                <w:sz w:val="24"/>
                <w:highlight w:val="none"/>
              </w:rPr>
              <w:t>0830-</w:t>
            </w:r>
            <w:r>
              <w:rPr>
                <w:rFonts w:hint="eastAsia" w:ascii="Times New Roman" w:hAnsi="Times New Roman"/>
                <w:color w:val="auto"/>
                <w:sz w:val="24"/>
                <w:highlight w:val="none"/>
                <w:lang w:val="en-US" w:eastAsia="zh-CN"/>
              </w:rPr>
              <w:t>6523011</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2" w:name="_Toc91771149"/>
      <w:bookmarkStart w:id="13" w:name="_Toc32052"/>
      <w:r>
        <w:rPr>
          <w:rStyle w:val="31"/>
          <w:rFonts w:hint="eastAsia"/>
        </w:rPr>
        <w:t>二、总则</w:t>
      </w:r>
      <w:bookmarkEnd w:id="12"/>
      <w:bookmarkEnd w:id="13"/>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7"/>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7"/>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7"/>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7"/>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7"/>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7"/>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7"/>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pStyle w:val="5"/>
        <w:bidi w:val="0"/>
        <w:jc w:val="center"/>
      </w:pPr>
      <w:bookmarkStart w:id="14" w:name="_Toc91771150"/>
      <w:bookmarkStart w:id="15" w:name="_Toc15746"/>
      <w:r>
        <w:t>三、询价文件</w:t>
      </w:r>
      <w:bookmarkEnd w:id="14"/>
      <w:bookmarkEnd w:id="15"/>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pStyle w:val="5"/>
        <w:bidi w:val="0"/>
        <w:jc w:val="center"/>
      </w:pPr>
      <w:bookmarkStart w:id="16" w:name="_Toc91771151"/>
      <w:bookmarkStart w:id="17" w:name="_Toc15399"/>
      <w:r>
        <w:t>四、询价响应文件</w:t>
      </w:r>
      <w:bookmarkEnd w:id="16"/>
      <w:bookmarkEnd w:id="17"/>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1"/>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pStyle w:val="5"/>
        <w:bidi w:val="0"/>
        <w:jc w:val="center"/>
      </w:pPr>
      <w:bookmarkStart w:id="18" w:name="_Toc91771152"/>
      <w:bookmarkStart w:id="19" w:name="_Toc6072"/>
      <w:r>
        <w:t>五、询价及评审过程</w:t>
      </w:r>
      <w:bookmarkEnd w:id="18"/>
      <w:bookmarkEnd w:id="19"/>
    </w:p>
    <w:p>
      <w:pPr>
        <w:spacing w:line="360" w:lineRule="auto"/>
        <w:rPr>
          <w:b/>
          <w:color w:val="auto"/>
          <w:sz w:val="24"/>
          <w:highlight w:val="none"/>
        </w:rPr>
      </w:pPr>
      <w:r>
        <w:rPr>
          <w:b/>
          <w:color w:val="auto"/>
          <w:sz w:val="24"/>
          <w:highlight w:val="none"/>
        </w:rPr>
        <w:t>22. 询价小组的组建按本文件第六章的规定进行。</w:t>
      </w:r>
    </w:p>
    <w:p>
      <w:pPr>
        <w:pStyle w:val="5"/>
        <w:bidi w:val="0"/>
        <w:jc w:val="center"/>
      </w:pPr>
      <w:bookmarkStart w:id="20" w:name="_Toc91771153"/>
      <w:bookmarkStart w:id="21" w:name="_Toc31732"/>
      <w:r>
        <w:t>六、成交事项</w:t>
      </w:r>
      <w:bookmarkEnd w:id="20"/>
      <w:bookmarkEnd w:id="21"/>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pStyle w:val="5"/>
        <w:bidi w:val="0"/>
        <w:jc w:val="center"/>
      </w:pPr>
      <w:bookmarkStart w:id="22" w:name="_Toc91771154"/>
      <w:bookmarkStart w:id="23" w:name="_Toc12837"/>
      <w:r>
        <w:t>七、合同事项</w:t>
      </w:r>
      <w:bookmarkEnd w:id="22"/>
      <w:bookmarkEnd w:id="23"/>
    </w:p>
    <w:p>
      <w:pPr>
        <w:spacing w:line="360" w:lineRule="auto"/>
        <w:rPr>
          <w:b/>
          <w:color w:val="auto"/>
          <w:sz w:val="24"/>
          <w:highlight w:val="none"/>
        </w:rPr>
      </w:pPr>
      <w:bookmarkStart w:id="24" w:name="_Toc101250646"/>
      <w:bookmarkStart w:id="25" w:name="_Toc209847069"/>
      <w:bookmarkStart w:id="26" w:name="_Toc430773927"/>
      <w:bookmarkStart w:id="27" w:name="_Toc101174151"/>
      <w:bookmarkStart w:id="28" w:name="_Toc101338364"/>
      <w:r>
        <w:rPr>
          <w:b/>
          <w:color w:val="auto"/>
          <w:sz w:val="24"/>
          <w:highlight w:val="none"/>
        </w:rPr>
        <w:t>25.签订合同</w:t>
      </w:r>
      <w:bookmarkEnd w:id="24"/>
      <w:bookmarkEnd w:id="25"/>
      <w:bookmarkEnd w:id="26"/>
      <w:bookmarkEnd w:id="27"/>
      <w:bookmarkEnd w:id="28"/>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pStyle w:val="5"/>
        <w:bidi w:val="0"/>
        <w:jc w:val="center"/>
      </w:pPr>
      <w:bookmarkStart w:id="29" w:name="_Toc91771155"/>
      <w:bookmarkStart w:id="30" w:name="_Toc20434"/>
      <w:r>
        <w:t>八、询价纪律要求</w:t>
      </w:r>
      <w:bookmarkEnd w:id="29"/>
      <w:bookmarkEnd w:id="30"/>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pStyle w:val="5"/>
        <w:bidi w:val="0"/>
        <w:jc w:val="center"/>
      </w:pPr>
      <w:bookmarkStart w:id="31" w:name="_Toc91771156"/>
      <w:bookmarkStart w:id="32" w:name="_Toc15166"/>
      <w:r>
        <w:t>九、询问、质疑和投诉</w:t>
      </w:r>
      <w:bookmarkEnd w:id="31"/>
      <w:bookmarkEnd w:id="32"/>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pStyle w:val="5"/>
        <w:bidi w:val="0"/>
        <w:jc w:val="center"/>
      </w:pPr>
      <w:bookmarkStart w:id="33" w:name="_Toc91771157"/>
      <w:bookmarkStart w:id="34" w:name="_Toc23573"/>
      <w:r>
        <w:t>十、其他</w:t>
      </w:r>
      <w:bookmarkEnd w:id="33"/>
      <w:bookmarkEnd w:id="34"/>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pStyle w:val="5"/>
        <w:bidi w:val="0"/>
        <w:jc w:val="center"/>
        <w:rPr>
          <w:rFonts w:hint="eastAsia"/>
        </w:rPr>
      </w:pPr>
      <w:bookmarkStart w:id="35" w:name="_Toc91771158"/>
      <w:bookmarkStart w:id="36" w:name="_Toc32493"/>
      <w:bookmarkStart w:id="37" w:name="_Toc217446057"/>
      <w:bookmarkStart w:id="38" w:name="_Toc183682369"/>
      <w:bookmarkStart w:id="39" w:name="_Toc183582232"/>
      <w:r>
        <w:rPr>
          <w:rFonts w:hint="eastAsia"/>
        </w:rPr>
        <w:t>第三章 项目技术、服务及商务要求</w:t>
      </w:r>
      <w:bookmarkEnd w:id="35"/>
      <w:bookmarkEnd w:id="36"/>
    </w:p>
    <w:p>
      <w:pPr>
        <w:outlineLvl w:val="1"/>
        <w:rPr>
          <w:rFonts w:hint="eastAsia" w:ascii="宋体" w:hAnsi="宋体"/>
          <w:b/>
          <w:color w:val="auto"/>
          <w:sz w:val="32"/>
          <w:highlight w:val="none"/>
        </w:rPr>
      </w:pPr>
      <w:bookmarkStart w:id="40" w:name="_Toc91771159"/>
      <w:bookmarkStart w:id="41" w:name="_Toc14913"/>
      <w:r>
        <w:rPr>
          <w:rFonts w:hint="eastAsia" w:ascii="宋体" w:hAnsi="宋体"/>
          <w:b/>
          <w:color w:val="auto"/>
          <w:sz w:val="32"/>
          <w:highlight w:val="none"/>
        </w:rPr>
        <w:t>一、项目概况</w:t>
      </w:r>
      <w:bookmarkEnd w:id="40"/>
      <w:bookmarkEnd w:id="41"/>
    </w:p>
    <w:p>
      <w:pPr>
        <w:spacing w:after="240" w:afterLines="100"/>
        <w:ind w:firstLine="480" w:firstLineChars="200"/>
        <w:rPr>
          <w:color w:val="auto"/>
          <w:highlight w:val="none"/>
        </w:rPr>
      </w:pPr>
      <w:r>
        <w:rPr>
          <w:rFonts w:hint="eastAsia"/>
          <w:color w:val="auto"/>
          <w:sz w:val="24"/>
          <w:szCs w:val="28"/>
          <w:highlight w:val="none"/>
          <w:lang w:val="en-US" w:eastAsia="zh-CN"/>
        </w:rPr>
        <w:t>我司因环卫工人工作开展需要，需采购10台240L垃圾桶专用电动三轮摩托车，暂定单价为6500元/台，总费用65000元，按实结算。</w:t>
      </w:r>
    </w:p>
    <w:p>
      <w:pPr>
        <w:outlineLvl w:val="1"/>
        <w:rPr>
          <w:rFonts w:hint="eastAsia" w:ascii="宋体" w:hAnsi="宋体"/>
          <w:b/>
          <w:color w:val="auto"/>
          <w:sz w:val="32"/>
          <w:highlight w:val="none"/>
        </w:rPr>
      </w:pPr>
      <w:bookmarkStart w:id="42" w:name="_Toc91771160"/>
      <w:bookmarkStart w:id="43" w:name="_Toc16611"/>
      <w:r>
        <w:rPr>
          <w:rFonts w:hint="eastAsia" w:ascii="宋体" w:hAnsi="宋体"/>
          <w:b/>
          <w:color w:val="auto"/>
          <w:sz w:val="32"/>
          <w:highlight w:val="none"/>
        </w:rPr>
        <w:t>二、技术要求</w:t>
      </w:r>
      <w:bookmarkEnd w:id="42"/>
      <w:bookmarkEnd w:id="43"/>
    </w:p>
    <w:tbl>
      <w:tblPr>
        <w:tblStyle w:val="16"/>
        <w:tblW w:w="92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745"/>
        <w:gridCol w:w="5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108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bookmarkStart w:id="44" w:name="_Toc91771161"/>
          </w:p>
        </w:tc>
        <w:tc>
          <w:tcPr>
            <w:tcW w:w="8130"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技术参数表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参数名称</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外形尺寸（长×宽×高(mm)</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≥2850×980×1650（mm）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箱体容积</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2个240L垃圾桶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总质量(kg)</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650kg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整备质量(kg)</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额定载质量(kg)</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轴距mm</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轮距mm</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轮距≥800mm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轮胎规格</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不低于：前3.00-12后3.00-10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发动机功率</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≥1.2kv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续航里程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最大爬坡度（%）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锂电池 锂电池容量≥2580wh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简易棚</w:t>
            </w:r>
            <w:r>
              <w:rPr>
                <w:rFonts w:hint="eastAsia" w:ascii="宋体" w:hAnsi="宋体" w:eastAsia="宋体" w:cs="宋体"/>
                <w:i w:val="0"/>
                <w:iCs w:val="0"/>
                <w:color w:val="000000"/>
                <w:kern w:val="0"/>
                <w:sz w:val="22"/>
                <w:szCs w:val="22"/>
                <w:u w:val="none"/>
                <w:lang w:val="en-US" w:eastAsia="zh-CN" w:bidi="ar"/>
              </w:rPr>
              <w:br w:type="textWrapp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模具冲压一体式车棚，厚度 ≥1.2mm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仪表器</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照明大灯／左右转向灯／刹车灯／行车灯／后视镜／仪表／电喇叭／组合开关。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车箱</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车箱装载2个240L国标塑料垃圾桶，不移位；车箱侧板采用冲压折弯成型冷轧版，厚度≥ 1.2mm；尾板采用加厚加长特制冷扎板，承重性强，方便垃圾桶上下。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制动器</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脚踩机械式后轮鼓刹+右手把式软轴前轮制动+手动机械驻车制动，配备有制动断电装置，在制动时能同时自动切断电源。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驾驶空间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座箱与主梁间距40-70cm，踏板宽度≥82cm</w:t>
            </w:r>
          </w:p>
        </w:tc>
      </w:tr>
    </w:tbl>
    <w:p>
      <w:pPr>
        <w:pStyle w:val="3"/>
        <w:ind w:firstLine="480" w:firstLineChars="200"/>
        <w:jc w:val="both"/>
        <w:rPr>
          <w:rFonts w:hint="eastAsia" w:ascii="宋体" w:hAnsi="宋体" w:eastAsia="宋体" w:cs="Times New Roman"/>
          <w:color w:val="auto"/>
          <w:kern w:val="2"/>
          <w:sz w:val="24"/>
          <w:szCs w:val="24"/>
          <w:highlight w:val="none"/>
          <w:lang w:val="en-US" w:eastAsia="zh-CN" w:bidi="ar-SA"/>
        </w:rPr>
      </w:pPr>
    </w:p>
    <w:p>
      <w:pPr>
        <w:spacing w:line="360" w:lineRule="auto"/>
        <w:rPr>
          <w:rFonts w:ascii="宋体" w:hAnsi="宋体" w:cs="宋体"/>
          <w:color w:val="000000"/>
          <w:sz w:val="24"/>
        </w:rPr>
      </w:pPr>
      <w:r>
        <w:rPr>
          <w:rFonts w:hint="eastAsia" w:ascii="宋体" w:hAnsi="宋体" w:eastAsia="宋体" w:cs="Times New Roman"/>
          <w:color w:val="auto"/>
          <w:kern w:val="2"/>
          <w:sz w:val="24"/>
          <w:szCs w:val="24"/>
          <w:highlight w:val="none"/>
          <w:lang w:val="en-US" w:eastAsia="zh-CN" w:bidi="ar-SA"/>
        </w:rPr>
        <w:t>注：</w:t>
      </w:r>
      <w:r>
        <w:rPr>
          <w:rFonts w:hint="eastAsia" w:ascii="宋体" w:hAnsi="宋体" w:cs="Times New Roman"/>
          <w:color w:val="auto"/>
          <w:kern w:val="2"/>
          <w:sz w:val="24"/>
          <w:szCs w:val="24"/>
          <w:highlight w:val="none"/>
          <w:lang w:val="en-US" w:eastAsia="zh-CN" w:bidi="ar-SA"/>
        </w:rPr>
        <w:t>1.</w:t>
      </w:r>
      <w:r>
        <w:rPr>
          <w:rFonts w:hint="eastAsia" w:ascii="宋体" w:hAnsi="宋体" w:cs="宋体"/>
          <w:color w:val="000000"/>
          <w:sz w:val="24"/>
        </w:rPr>
        <w:t>单价是包干价即包括但不限于人工费、运输费、搬运费、下车费、管理费、利润、税金等完成本项目所需的一切费用。</w:t>
      </w:r>
    </w:p>
    <w:p>
      <w:pPr>
        <w:pStyle w:val="3"/>
        <w:numPr>
          <w:ilvl w:val="0"/>
          <w:numId w:val="0"/>
        </w:numPr>
        <w:ind w:firstLine="482" w:firstLineChars="200"/>
        <w:jc w:val="both"/>
        <w:rPr>
          <w:rFonts w:hint="default" w:ascii="宋体" w:hAnsi="宋体" w:eastAsia="宋体" w:cs="Times New Roman"/>
          <w:b/>
          <w:bCs/>
          <w:color w:val="auto"/>
          <w:kern w:val="2"/>
          <w:sz w:val="24"/>
          <w:szCs w:val="24"/>
          <w:highlight w:val="none"/>
          <w:lang w:val="en-US" w:eastAsia="zh-CN" w:bidi="ar-SA"/>
        </w:rPr>
      </w:pPr>
      <w:r>
        <w:rPr>
          <w:rFonts w:hint="eastAsia" w:ascii="宋体" w:hAnsi="宋体" w:cs="宋体"/>
          <w:b/>
          <w:bCs w:val="0"/>
          <w:sz w:val="24"/>
          <w:szCs w:val="24"/>
          <w:highlight w:val="none"/>
          <w:lang w:val="en-US" w:eastAsia="zh-CN"/>
        </w:rPr>
        <w:t>2.税率按照13%计算，最终按实结算。</w:t>
      </w:r>
    </w:p>
    <w:p>
      <w:pPr>
        <w:outlineLvl w:val="1"/>
        <w:rPr>
          <w:rFonts w:hint="eastAsia" w:ascii="宋体" w:hAnsi="宋体"/>
          <w:b/>
          <w:color w:val="auto"/>
          <w:sz w:val="32"/>
          <w:highlight w:val="none"/>
        </w:rPr>
      </w:pPr>
      <w:bookmarkStart w:id="45" w:name="_Toc22162"/>
      <w:r>
        <w:rPr>
          <w:rFonts w:hint="eastAsia" w:ascii="宋体" w:hAnsi="宋体"/>
          <w:b/>
          <w:color w:val="auto"/>
          <w:sz w:val="32"/>
          <w:highlight w:val="none"/>
        </w:rPr>
        <w:t>三、服务要求</w:t>
      </w:r>
      <w:bookmarkEnd w:id="44"/>
      <w:bookmarkEnd w:id="45"/>
    </w:p>
    <w:p>
      <w:pPr>
        <w:pStyle w:val="2"/>
        <w:ind w:firstLine="480" w:firstLineChars="200"/>
        <w:jc w:val="left"/>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1.供货期限：合同签订后</w:t>
      </w:r>
      <w:r>
        <w:rPr>
          <w:rFonts w:hint="eastAsia" w:cs="Times New Roman"/>
          <w:sz w:val="24"/>
          <w:szCs w:val="32"/>
          <w:lang w:val="en-US" w:eastAsia="zh-CN"/>
        </w:rPr>
        <w:t>15</w:t>
      </w:r>
      <w:r>
        <w:rPr>
          <w:rFonts w:hint="eastAsia" w:ascii="Times New Roman" w:hAnsi="Times New Roman" w:eastAsia="宋体" w:cs="Times New Roman"/>
          <w:sz w:val="24"/>
          <w:szCs w:val="32"/>
          <w:lang w:val="en-US" w:eastAsia="zh-CN"/>
        </w:rPr>
        <w:t>个日历日内。</w:t>
      </w:r>
    </w:p>
    <w:p>
      <w:pPr>
        <w:pStyle w:val="2"/>
        <w:ind w:firstLine="480" w:firstLineChars="200"/>
        <w:jc w:val="left"/>
        <w:rPr>
          <w:rFonts w:hint="default" w:ascii="Times New Roman" w:hAnsi="Times New Roman" w:eastAsia="宋体" w:cs="Times New Roman"/>
          <w:sz w:val="24"/>
          <w:szCs w:val="32"/>
          <w:lang w:val="en-US" w:eastAsia="zh-CN"/>
        </w:rPr>
      </w:pPr>
      <w:r>
        <w:rPr>
          <w:rFonts w:hint="eastAsia" w:cs="Times New Roman"/>
          <w:sz w:val="24"/>
          <w:szCs w:val="32"/>
          <w:lang w:val="en-US" w:eastAsia="zh-CN"/>
        </w:rPr>
        <w:t>2.供货方式：免费供货至采购人指定地点-泸州市江阳区</w:t>
      </w:r>
    </w:p>
    <w:p>
      <w:pPr>
        <w:pStyle w:val="2"/>
        <w:ind w:firstLine="480" w:firstLineChars="200"/>
        <w:jc w:val="left"/>
        <w:rPr>
          <w:rFonts w:hint="default" w:ascii="Times New Roman" w:hAnsi="Times New Roman" w:eastAsia="宋体" w:cs="Times New Roman"/>
          <w:sz w:val="24"/>
          <w:szCs w:val="32"/>
          <w:lang w:val="en-US" w:eastAsia="zh-CN"/>
        </w:rPr>
      </w:pPr>
      <w:r>
        <w:rPr>
          <w:rFonts w:hint="eastAsia" w:cs="Times New Roman"/>
          <w:sz w:val="24"/>
          <w:szCs w:val="32"/>
          <w:lang w:val="en-US" w:eastAsia="zh-CN"/>
        </w:rPr>
        <w:t>3</w:t>
      </w:r>
      <w:r>
        <w:rPr>
          <w:rFonts w:hint="eastAsia" w:ascii="Times New Roman" w:hAnsi="Times New Roman" w:eastAsia="宋体" w:cs="Times New Roman"/>
          <w:sz w:val="24"/>
          <w:szCs w:val="32"/>
          <w:lang w:val="en-US" w:eastAsia="zh-CN"/>
        </w:rPr>
        <w:t>.质保期：电池质保3年</w:t>
      </w:r>
      <w:r>
        <w:rPr>
          <w:rFonts w:hint="eastAsia" w:cs="Times New Roman"/>
          <w:sz w:val="24"/>
          <w:szCs w:val="32"/>
          <w:lang w:val="en-US" w:eastAsia="zh-CN"/>
        </w:rPr>
        <w:t>，其余部件质保1年，质保期自验收合格之日起计算</w:t>
      </w:r>
      <w:r>
        <w:rPr>
          <w:rFonts w:hint="eastAsia" w:ascii="Times New Roman" w:hAnsi="Times New Roman" w:eastAsia="宋体" w:cs="Times New Roman"/>
          <w:sz w:val="24"/>
          <w:szCs w:val="32"/>
          <w:lang w:val="en-US" w:eastAsia="zh-CN"/>
        </w:rPr>
        <w:t>。</w:t>
      </w:r>
    </w:p>
    <w:p>
      <w:pPr>
        <w:pStyle w:val="2"/>
        <w:keepNext w:val="0"/>
        <w:keepLines w:val="0"/>
        <w:pageBreakBefore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default" w:ascii="Times New Roman" w:hAnsi="Times New Roman" w:eastAsia="宋体" w:cs="Times New Roman"/>
          <w:sz w:val="24"/>
          <w:szCs w:val="32"/>
          <w:lang w:val="en-US" w:eastAsia="zh-CN"/>
        </w:rPr>
      </w:pPr>
      <w:r>
        <w:rPr>
          <w:rFonts w:hint="eastAsia" w:cs="Times New Roman"/>
          <w:sz w:val="24"/>
          <w:szCs w:val="32"/>
          <w:lang w:val="en-US" w:eastAsia="zh-CN"/>
        </w:rPr>
        <w:t>4</w:t>
      </w:r>
      <w:r>
        <w:rPr>
          <w:rFonts w:hint="eastAsia" w:ascii="Times New Roman" w:hAnsi="Times New Roman" w:eastAsia="宋体" w:cs="Times New Roman"/>
          <w:sz w:val="24"/>
          <w:szCs w:val="32"/>
          <w:lang w:val="en-US" w:eastAsia="zh-CN"/>
        </w:rPr>
        <w:t>.要求：</w:t>
      </w:r>
      <w:r>
        <w:rPr>
          <w:rFonts w:hint="eastAsia" w:cs="Times New Roman"/>
          <w:sz w:val="24"/>
          <w:szCs w:val="32"/>
          <w:lang w:val="en-US" w:eastAsia="zh-CN"/>
        </w:rPr>
        <w:t>（</w:t>
      </w:r>
      <w:r>
        <w:rPr>
          <w:rFonts w:hint="eastAsia" w:eastAsia="宋体" w:cs="Times New Roman"/>
          <w:sz w:val="24"/>
          <w:szCs w:val="32"/>
          <w:lang w:val="en-US" w:eastAsia="zh-CN"/>
        </w:rPr>
        <w:t>1）供应商需提供电动三轮车强制性产品认证车辆一致性证书并保证提供产品与认证书一致，同时能在国家工信部查询相关信息并保证查询信息与供应商供货产品一致。</w:t>
      </w:r>
      <w:r>
        <w:rPr>
          <w:rFonts w:hint="eastAsia" w:cs="Times New Roman"/>
          <w:sz w:val="24"/>
          <w:szCs w:val="32"/>
          <w:lang w:val="en-US" w:eastAsia="zh-CN"/>
        </w:rPr>
        <w:t>（2）供应商提供的电动</w:t>
      </w:r>
      <w:r>
        <w:rPr>
          <w:rFonts w:hint="eastAsia" w:eastAsia="宋体" w:cs="Times New Roman"/>
          <w:sz w:val="24"/>
          <w:szCs w:val="32"/>
          <w:lang w:val="en-US" w:eastAsia="zh-CN"/>
        </w:rPr>
        <w:t>三轮摩托车需满足车管所上牌要求。（3）供应商需免费协助采购人完成电动三轮摩托车上牌及购买保险的工作。（4）电动车完成上牌视为验收合格。（5）交货时需提供供货产品合格证明文件，检验报告等，同时必须符合国家标准（无国标的按行业标准、企业标准、以此类推）。（6）供应商提供产品的参数不低于采购人要求参数。</w:t>
      </w:r>
    </w:p>
    <w:p>
      <w:pPr>
        <w:outlineLvl w:val="1"/>
        <w:rPr>
          <w:rFonts w:hint="eastAsia" w:ascii="宋体" w:hAnsi="宋体"/>
          <w:b/>
          <w:color w:val="auto"/>
          <w:sz w:val="32"/>
          <w:highlight w:val="none"/>
        </w:rPr>
      </w:pPr>
      <w:bookmarkStart w:id="46" w:name="_Toc91771162"/>
      <w:bookmarkStart w:id="47" w:name="_Toc24180"/>
      <w:r>
        <w:rPr>
          <w:rFonts w:hint="eastAsia" w:ascii="宋体" w:hAnsi="宋体"/>
          <w:b/>
          <w:color w:val="auto"/>
          <w:sz w:val="32"/>
          <w:highlight w:val="none"/>
        </w:rPr>
        <w:t>四、商务要求</w:t>
      </w:r>
      <w:bookmarkEnd w:id="46"/>
      <w:bookmarkEnd w:id="47"/>
    </w:p>
    <w:p>
      <w:pPr>
        <w:pStyle w:val="2"/>
        <w:ind w:firstLine="480" w:firstLineChars="200"/>
        <w:jc w:val="left"/>
        <w:rPr>
          <w:rFonts w:hint="eastAsia" w:ascii="宋体" w:hAnsi="宋体"/>
          <w:bCs/>
          <w:color w:val="auto"/>
          <w:sz w:val="24"/>
          <w:highlight w:val="none"/>
        </w:rPr>
      </w:pPr>
      <w:r>
        <w:rPr>
          <w:rFonts w:hint="eastAsia" w:ascii="Times New Roman" w:hAnsi="Times New Roman" w:eastAsia="宋体" w:cs="Times New Roman"/>
          <w:sz w:val="24"/>
          <w:szCs w:val="32"/>
          <w:lang w:val="en-US" w:eastAsia="zh-CN"/>
        </w:rPr>
        <w:t>支付方式：</w:t>
      </w:r>
      <w:r>
        <w:rPr>
          <w:rFonts w:hint="eastAsia" w:cs="Times New Roman"/>
          <w:sz w:val="24"/>
          <w:szCs w:val="32"/>
          <w:lang w:val="en-US" w:eastAsia="zh-CN"/>
        </w:rPr>
        <w:t>验收合格后供应商向采购人开具等额增值税专用发票，采购人支付至结算金额97%，剩余3%作为质保金，验收合格后1年凭供应商支付申请无息支付</w:t>
      </w:r>
      <w:r>
        <w:rPr>
          <w:rFonts w:hint="eastAsia" w:ascii="Times New Roman" w:hAnsi="Times New Roman" w:eastAsia="宋体" w:cs="Times New Roman"/>
          <w:sz w:val="24"/>
          <w:szCs w:val="32"/>
          <w:lang w:val="en-US" w:eastAsia="zh-CN"/>
        </w:rPr>
        <w:t>。</w:t>
      </w:r>
    </w:p>
    <w:p>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48" w:name="_Toc91771163"/>
      <w:bookmarkStart w:id="49" w:name="_Toc23281"/>
      <w:r>
        <w:rPr>
          <w:rStyle w:val="31"/>
          <w:rFonts w:hint="eastAsia"/>
        </w:rPr>
        <w:t>第四章 响应文件格式</w:t>
      </w:r>
      <w:bookmarkEnd w:id="48"/>
      <w:bookmarkEnd w:id="49"/>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采购编号：xxxx号</w:t>
      </w:r>
    </w:p>
    <w:p>
      <w:pPr>
        <w:pStyle w:val="3"/>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rPr>
        <w:t>XX采购项目</w:t>
      </w:r>
    </w:p>
    <w:p>
      <w:pPr>
        <w:pStyle w:val="3"/>
        <w:rPr>
          <w:rFonts w:hint="eastAsia"/>
          <w:color w:val="auto"/>
          <w:highlight w:val="none"/>
        </w:rPr>
      </w:pPr>
    </w:p>
    <w:p>
      <w:pPr>
        <w:pStyle w:val="24"/>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3"/>
        <w:rPr>
          <w:rFonts w:hint="eastAsia"/>
          <w:color w:val="auto"/>
          <w:highlight w:val="none"/>
        </w:rPr>
      </w:pPr>
    </w:p>
    <w:p>
      <w:pPr>
        <w:pStyle w:val="3"/>
        <w:spacing w:line="360" w:lineRule="auto"/>
        <w:rPr>
          <w:rFonts w:hint="eastAsia"/>
          <w:color w:val="auto"/>
          <w:highlight w:val="none"/>
        </w:rPr>
      </w:pPr>
    </w:p>
    <w:p>
      <w:pPr>
        <w:spacing w:line="360" w:lineRule="auto"/>
        <w:rPr>
          <w:rFonts w:hint="eastAsia"/>
          <w:color w:val="auto"/>
          <w:highlight w:val="none"/>
        </w:rPr>
      </w:pPr>
    </w:p>
    <w:p>
      <w:pPr>
        <w:pStyle w:val="3"/>
        <w:spacing w:line="360" w:lineRule="auto"/>
        <w:rPr>
          <w:rFonts w:hint="eastAsia"/>
          <w:color w:val="auto"/>
          <w:highlight w:val="none"/>
        </w:rPr>
      </w:pPr>
    </w:p>
    <w:p>
      <w:pPr>
        <w:pStyle w:val="3"/>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3"/>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3"/>
        <w:rPr>
          <w:rFonts w:hint="eastAsia"/>
          <w:color w:val="auto"/>
          <w:highlight w:val="none"/>
        </w:rPr>
      </w:pPr>
    </w:p>
    <w:p>
      <w:pPr>
        <w:pStyle w:val="24"/>
        <w:ind w:firstLine="420"/>
        <w:rPr>
          <w:rFonts w:hint="eastAsia"/>
          <w:color w:val="auto"/>
          <w:highlight w:val="none"/>
        </w:rPr>
      </w:pPr>
    </w:p>
    <w:p>
      <w:pPr>
        <w:rPr>
          <w:rFonts w:hint="eastAsia"/>
          <w:color w:val="auto"/>
          <w:highlight w:val="none"/>
        </w:rPr>
      </w:pPr>
    </w:p>
    <w:p>
      <w:pPr>
        <w:pStyle w:val="3"/>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pStyle w:val="5"/>
        <w:bidi w:val="0"/>
        <w:jc w:val="center"/>
        <w:rPr>
          <w:rFonts w:hint="eastAsia"/>
        </w:rPr>
      </w:pPr>
      <w:bookmarkStart w:id="50" w:name="_Toc91771164"/>
      <w:bookmarkStart w:id="51" w:name="_Toc7231"/>
      <w:r>
        <w:rPr>
          <w:rFonts w:hint="eastAsia"/>
        </w:rPr>
        <w:t>一、报价函</w:t>
      </w:r>
      <w:bookmarkEnd w:id="50"/>
      <w:bookmarkEnd w:id="51"/>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1</w:t>
      </w:r>
      <w:r>
        <w:rPr>
          <w:color w:val="auto"/>
          <w:sz w:val="24"/>
          <w:highlight w:val="none"/>
        </w:rPr>
        <w:t xml:space="preserve"> 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0</w:t>
      </w:r>
      <w:r>
        <w:rPr>
          <w:color w:val="auto"/>
          <w:sz w:val="24"/>
          <w:highlight w:val="none"/>
        </w:rPr>
        <w:t>位小数）：</w:t>
      </w:r>
      <w:r>
        <w:rPr>
          <w:color w:val="auto"/>
          <w:sz w:val="24"/>
          <w:highlight w:val="none"/>
          <w:u w:val="single"/>
        </w:rPr>
        <w:t xml:space="preserve">        </w:t>
      </w:r>
      <w:r>
        <w:rPr>
          <w:color w:val="auto"/>
          <w:sz w:val="24"/>
          <w:highlight w:val="none"/>
        </w:rPr>
        <w:t>元 ，报价有效期为询价文件规定的起算之日起90天。</w:t>
      </w:r>
    </w:p>
    <w:p>
      <w:pPr>
        <w:pStyle w:val="9"/>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ascii="Times New Roman"/>
          <w:color w:val="auto"/>
          <w:sz w:val="24"/>
          <w:highlight w:val="none"/>
          <w:lang w:val="en-US" w:eastAsia="zh-CN"/>
        </w:rPr>
        <w:t>合同签订后15个日历日内</w:t>
      </w:r>
      <w:r>
        <w:rPr>
          <w:rFonts w:ascii="Times New Roman"/>
          <w:color w:val="auto"/>
          <w:kern w:val="2"/>
          <w:sz w:val="24"/>
          <w:szCs w:val="24"/>
          <w:highlight w:val="none"/>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2" w:name="_Toc91771165"/>
      <w:bookmarkStart w:id="53" w:name="_Toc6771"/>
      <w:r>
        <w:rPr>
          <w:rStyle w:val="31"/>
          <w:rFonts w:hint="eastAsia"/>
        </w:rPr>
        <w:t>二、资格证明材料</w:t>
      </w:r>
      <w:bookmarkEnd w:id="52"/>
      <w:bookmarkEnd w:id="53"/>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pPr>
        <w:pStyle w:val="3"/>
        <w:rPr>
          <w:color w:val="auto"/>
          <w:highlight w:val="none"/>
        </w:rPr>
      </w:pPr>
    </w:p>
    <w:p>
      <w:pPr>
        <w:pStyle w:val="3"/>
        <w:rPr>
          <w:rFonts w:hint="eastAsia"/>
          <w:color w:val="auto"/>
          <w:highlight w:val="none"/>
        </w:rPr>
      </w:pPr>
    </w:p>
    <w:p>
      <w:pPr>
        <w:pStyle w:val="3"/>
        <w:rPr>
          <w:rFonts w:hint="eastAsia"/>
          <w:color w:val="auto"/>
          <w:highlight w:val="none"/>
        </w:rPr>
      </w:pPr>
    </w:p>
    <w:p>
      <w:pPr>
        <w:numPr>
          <w:ilvl w:val="0"/>
          <w:numId w:val="1"/>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4" w:name="_Toc91771166"/>
      <w:bookmarkStart w:id="55" w:name="_Toc26164"/>
      <w:r>
        <w:rPr>
          <w:rStyle w:val="31"/>
          <w:rFonts w:hint="eastAsia"/>
        </w:rPr>
        <w:t>法定代表人</w:t>
      </w:r>
      <w:r>
        <w:rPr>
          <w:rStyle w:val="31"/>
          <w:rFonts w:hint="eastAsia"/>
          <w:lang w:eastAsia="zh-CN"/>
        </w:rPr>
        <w:t>身份证明文件或</w:t>
      </w:r>
      <w:r>
        <w:rPr>
          <w:rStyle w:val="31"/>
          <w:rFonts w:hint="eastAsia"/>
        </w:rPr>
        <w:t>法定代表人授权书</w:t>
      </w:r>
      <w:bookmarkEnd w:id="54"/>
      <w:bookmarkEnd w:id="55"/>
    </w:p>
    <w:p>
      <w:pPr>
        <w:numPr>
          <w:ilvl w:val="0"/>
          <w:numId w:val="2"/>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2"/>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2"/>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3"/>
        <w:rPr>
          <w:rFonts w:hint="eastAsia"/>
          <w:color w:val="auto"/>
        </w:rPr>
      </w:pPr>
    </w:p>
    <w:p>
      <w:pPr>
        <w:pStyle w:val="22"/>
        <w:rPr>
          <w:rFonts w:hint="eastAsia" w:ascii="Times New Roman" w:hAnsi="Times New Roman" w:eastAsia="宋体" w:cs="Times New Roman"/>
          <w:color w:val="auto"/>
          <w:kern w:val="2"/>
          <w:sz w:val="24"/>
          <w:szCs w:val="24"/>
          <w:highlight w:val="none"/>
          <w:lang w:val="en-US" w:eastAsia="zh-CN" w:bidi="ar-SA"/>
        </w:rPr>
      </w:pPr>
      <w:bookmarkStart w:id="56" w:name="_Toc18887"/>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56"/>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1"/>
        <w:rPr>
          <w:rStyle w:val="31"/>
          <w:rFonts w:hint="eastAsia"/>
        </w:rPr>
      </w:pPr>
      <w:r>
        <w:rPr>
          <w:b/>
          <w:color w:val="auto"/>
          <w:sz w:val="32"/>
          <w:szCs w:val="32"/>
          <w:highlight w:val="none"/>
        </w:rPr>
        <w:br w:type="page"/>
      </w:r>
      <w:bookmarkStart w:id="57" w:name="_Toc91771167"/>
      <w:bookmarkStart w:id="58" w:name="_Toc15546"/>
      <w:r>
        <w:rPr>
          <w:rStyle w:val="31"/>
        </w:rPr>
        <w:t>四</w:t>
      </w:r>
      <w:r>
        <w:rPr>
          <w:rStyle w:val="31"/>
          <w:rFonts w:hint="eastAsia"/>
        </w:rPr>
        <w:t>、分项报价表</w:t>
      </w:r>
      <w:bookmarkEnd w:id="57"/>
      <w:bookmarkEnd w:id="58"/>
    </w:p>
    <w:tbl>
      <w:tblPr>
        <w:tblStyle w:val="17"/>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1225"/>
        <w:gridCol w:w="1225"/>
        <w:gridCol w:w="1225"/>
        <w:gridCol w:w="1226"/>
        <w:gridCol w:w="1226"/>
        <w:gridCol w:w="1226"/>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25" w:type="dxa"/>
            <w:vAlign w:val="center"/>
          </w:tcPr>
          <w:p>
            <w:pPr>
              <w:spacing w:line="360" w:lineRule="auto"/>
              <w:jc w:val="left"/>
              <w:rPr>
                <w:rFonts w:hint="default" w:eastAsia="宋体"/>
                <w:color w:val="auto"/>
                <w:sz w:val="24"/>
                <w:highlight w:val="none"/>
                <w:vertAlign w:val="baseline"/>
                <w:lang w:val="en-US" w:eastAsia="zh-CN"/>
              </w:rPr>
            </w:pPr>
            <w:r>
              <w:rPr>
                <w:rFonts w:hint="eastAsia"/>
                <w:color w:val="auto"/>
                <w:sz w:val="24"/>
                <w:highlight w:val="none"/>
                <w:vertAlign w:val="baseline"/>
                <w:lang w:val="en-US" w:eastAsia="zh-CN"/>
              </w:rPr>
              <w:t>序号</w:t>
            </w:r>
          </w:p>
        </w:tc>
        <w:tc>
          <w:tcPr>
            <w:tcW w:w="1225" w:type="dxa"/>
            <w:vAlign w:val="center"/>
          </w:tcPr>
          <w:p>
            <w:pPr>
              <w:spacing w:line="360" w:lineRule="auto"/>
              <w:jc w:val="left"/>
              <w:rPr>
                <w:rFonts w:hint="default" w:eastAsia="宋体"/>
                <w:color w:val="auto"/>
                <w:sz w:val="24"/>
                <w:highlight w:val="none"/>
                <w:vertAlign w:val="baseline"/>
                <w:lang w:val="en-US" w:eastAsia="zh-CN"/>
              </w:rPr>
            </w:pPr>
            <w:r>
              <w:rPr>
                <w:rFonts w:hint="eastAsia"/>
                <w:color w:val="auto"/>
                <w:sz w:val="24"/>
                <w:highlight w:val="none"/>
                <w:vertAlign w:val="baseline"/>
                <w:lang w:val="en-US" w:eastAsia="zh-CN"/>
              </w:rPr>
              <w:t>车辆名称</w:t>
            </w:r>
          </w:p>
        </w:tc>
        <w:tc>
          <w:tcPr>
            <w:tcW w:w="1225" w:type="dxa"/>
            <w:vAlign w:val="center"/>
          </w:tcPr>
          <w:p>
            <w:pPr>
              <w:spacing w:line="360" w:lineRule="auto"/>
              <w:jc w:val="left"/>
              <w:rPr>
                <w:rFonts w:hint="eastAsia"/>
                <w:color w:val="auto"/>
                <w:sz w:val="24"/>
                <w:highlight w:val="none"/>
                <w:vertAlign w:val="baseline"/>
              </w:rPr>
            </w:pPr>
            <w:r>
              <w:rPr>
                <w:rFonts w:hint="eastAsia"/>
                <w:color w:val="auto"/>
                <w:sz w:val="24"/>
                <w:highlight w:val="none"/>
                <w:vertAlign w:val="baseline"/>
              </w:rPr>
              <w:t>制造商家</w:t>
            </w:r>
          </w:p>
          <w:p>
            <w:pPr>
              <w:spacing w:line="360" w:lineRule="auto"/>
              <w:jc w:val="left"/>
              <w:rPr>
                <w:rFonts w:hint="eastAsia"/>
                <w:color w:val="auto"/>
                <w:sz w:val="24"/>
                <w:highlight w:val="none"/>
                <w:vertAlign w:val="baseline"/>
              </w:rPr>
            </w:pPr>
            <w:r>
              <w:rPr>
                <w:rFonts w:hint="eastAsia"/>
                <w:color w:val="auto"/>
                <w:sz w:val="24"/>
                <w:highlight w:val="none"/>
                <w:vertAlign w:val="baseline"/>
              </w:rPr>
              <w:t>(品牌)及</w:t>
            </w:r>
          </w:p>
          <w:p>
            <w:pPr>
              <w:spacing w:line="360" w:lineRule="auto"/>
              <w:jc w:val="left"/>
              <w:rPr>
                <w:rFonts w:hint="eastAsia"/>
                <w:color w:val="auto"/>
                <w:sz w:val="24"/>
                <w:highlight w:val="none"/>
                <w:vertAlign w:val="baseline"/>
              </w:rPr>
            </w:pPr>
            <w:r>
              <w:rPr>
                <w:rFonts w:hint="eastAsia"/>
                <w:color w:val="auto"/>
                <w:sz w:val="24"/>
                <w:highlight w:val="none"/>
                <w:vertAlign w:val="baseline"/>
              </w:rPr>
              <w:t>公告型号</w:t>
            </w:r>
          </w:p>
        </w:tc>
        <w:tc>
          <w:tcPr>
            <w:tcW w:w="1225" w:type="dxa"/>
            <w:vAlign w:val="center"/>
          </w:tcPr>
          <w:p>
            <w:pPr>
              <w:spacing w:line="360" w:lineRule="auto"/>
              <w:jc w:val="left"/>
              <w:rPr>
                <w:rFonts w:hint="eastAsia" w:eastAsia="宋体"/>
                <w:color w:val="auto"/>
                <w:sz w:val="24"/>
                <w:highlight w:val="none"/>
                <w:vertAlign w:val="baseline"/>
                <w:lang w:val="en-US" w:eastAsia="zh-CN"/>
              </w:rPr>
            </w:pPr>
            <w:r>
              <w:rPr>
                <w:rFonts w:hint="eastAsia"/>
                <w:color w:val="auto"/>
                <w:sz w:val="24"/>
                <w:highlight w:val="none"/>
                <w:vertAlign w:val="baseline"/>
                <w:lang w:val="en-US" w:eastAsia="zh-CN"/>
              </w:rPr>
              <w:t>数量</w:t>
            </w:r>
          </w:p>
        </w:tc>
        <w:tc>
          <w:tcPr>
            <w:tcW w:w="1226" w:type="dxa"/>
            <w:vAlign w:val="center"/>
          </w:tcPr>
          <w:p>
            <w:pPr>
              <w:spacing w:line="360" w:lineRule="auto"/>
              <w:jc w:val="left"/>
              <w:rPr>
                <w:rFonts w:hint="eastAsia" w:eastAsia="宋体"/>
                <w:color w:val="auto"/>
                <w:sz w:val="24"/>
                <w:highlight w:val="none"/>
                <w:vertAlign w:val="baseline"/>
                <w:lang w:val="en-US" w:eastAsia="zh-CN"/>
              </w:rPr>
            </w:pPr>
            <w:r>
              <w:rPr>
                <w:rFonts w:hint="eastAsia"/>
                <w:color w:val="auto"/>
                <w:sz w:val="24"/>
                <w:highlight w:val="none"/>
                <w:vertAlign w:val="baseline"/>
                <w:lang w:val="en-US" w:eastAsia="zh-CN"/>
              </w:rPr>
              <w:t>单价</w:t>
            </w:r>
          </w:p>
        </w:tc>
        <w:tc>
          <w:tcPr>
            <w:tcW w:w="1226" w:type="dxa"/>
            <w:vAlign w:val="center"/>
          </w:tcPr>
          <w:p>
            <w:pPr>
              <w:spacing w:line="360" w:lineRule="auto"/>
              <w:jc w:val="left"/>
              <w:rPr>
                <w:rFonts w:hint="eastAsia" w:eastAsia="宋体"/>
                <w:color w:val="auto"/>
                <w:sz w:val="24"/>
                <w:highlight w:val="none"/>
                <w:vertAlign w:val="baseline"/>
                <w:lang w:val="en-US" w:eastAsia="zh-CN"/>
              </w:rPr>
            </w:pPr>
            <w:r>
              <w:rPr>
                <w:rFonts w:hint="eastAsia"/>
                <w:color w:val="auto"/>
                <w:sz w:val="24"/>
                <w:highlight w:val="none"/>
                <w:vertAlign w:val="baseline"/>
                <w:lang w:val="en-US" w:eastAsia="zh-CN"/>
              </w:rPr>
              <w:t>总价</w:t>
            </w:r>
          </w:p>
        </w:tc>
        <w:tc>
          <w:tcPr>
            <w:tcW w:w="1226" w:type="dxa"/>
            <w:vAlign w:val="center"/>
          </w:tcPr>
          <w:p>
            <w:pPr>
              <w:spacing w:line="360" w:lineRule="auto"/>
              <w:jc w:val="left"/>
              <w:rPr>
                <w:rFonts w:hint="default" w:eastAsia="宋体"/>
                <w:color w:val="auto"/>
                <w:sz w:val="24"/>
                <w:highlight w:val="none"/>
                <w:vertAlign w:val="baseline"/>
                <w:lang w:val="en-US" w:eastAsia="zh-CN"/>
              </w:rPr>
            </w:pPr>
            <w:r>
              <w:rPr>
                <w:rFonts w:hint="eastAsia"/>
                <w:color w:val="auto"/>
                <w:sz w:val="24"/>
                <w:highlight w:val="none"/>
                <w:vertAlign w:val="baseline"/>
                <w:lang w:val="en-US" w:eastAsia="zh-CN"/>
              </w:rPr>
              <w:t>交货期限</w:t>
            </w:r>
          </w:p>
        </w:tc>
        <w:tc>
          <w:tcPr>
            <w:tcW w:w="1226" w:type="dxa"/>
            <w:vAlign w:val="center"/>
          </w:tcPr>
          <w:p>
            <w:pPr>
              <w:spacing w:line="360" w:lineRule="auto"/>
              <w:jc w:val="left"/>
              <w:rPr>
                <w:rFonts w:hint="default"/>
                <w:color w:val="auto"/>
                <w:sz w:val="24"/>
                <w:highlight w:val="none"/>
                <w:vertAlign w:val="baseline"/>
                <w:lang w:val="en-US" w:eastAsia="zh-CN"/>
              </w:rPr>
            </w:pPr>
            <w:r>
              <w:rPr>
                <w:rFonts w:hint="eastAsia"/>
                <w:color w:val="auto"/>
                <w:sz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25" w:type="dxa"/>
            <w:vAlign w:val="center"/>
          </w:tcPr>
          <w:p>
            <w:pPr>
              <w:spacing w:line="360" w:lineRule="auto"/>
              <w:jc w:val="left"/>
              <w:rPr>
                <w:rFonts w:hint="eastAsia" w:eastAsia="宋体"/>
                <w:color w:val="auto"/>
                <w:sz w:val="24"/>
                <w:highlight w:val="none"/>
                <w:vertAlign w:val="baseline"/>
                <w:lang w:val="en-US" w:eastAsia="zh-CN"/>
              </w:rPr>
            </w:pPr>
            <w:r>
              <w:rPr>
                <w:rFonts w:hint="eastAsia"/>
                <w:color w:val="auto"/>
                <w:sz w:val="24"/>
                <w:highlight w:val="none"/>
                <w:vertAlign w:val="baseline"/>
                <w:lang w:val="en-US" w:eastAsia="zh-CN"/>
              </w:rPr>
              <w:t>1</w:t>
            </w:r>
          </w:p>
        </w:tc>
        <w:tc>
          <w:tcPr>
            <w:tcW w:w="1225" w:type="dxa"/>
            <w:vAlign w:val="center"/>
          </w:tcPr>
          <w:p>
            <w:pPr>
              <w:spacing w:line="360" w:lineRule="auto"/>
              <w:jc w:val="left"/>
              <w:rPr>
                <w:rFonts w:hint="eastAsia"/>
                <w:color w:val="auto"/>
                <w:sz w:val="24"/>
                <w:highlight w:val="none"/>
                <w:vertAlign w:val="baseline"/>
              </w:rPr>
            </w:pPr>
          </w:p>
        </w:tc>
        <w:tc>
          <w:tcPr>
            <w:tcW w:w="1225" w:type="dxa"/>
            <w:vAlign w:val="center"/>
          </w:tcPr>
          <w:p>
            <w:pPr>
              <w:spacing w:line="360" w:lineRule="auto"/>
              <w:jc w:val="left"/>
              <w:rPr>
                <w:rFonts w:hint="eastAsia"/>
                <w:color w:val="auto"/>
                <w:sz w:val="24"/>
                <w:highlight w:val="none"/>
                <w:vertAlign w:val="baseline"/>
              </w:rPr>
            </w:pPr>
          </w:p>
        </w:tc>
        <w:tc>
          <w:tcPr>
            <w:tcW w:w="1225" w:type="dxa"/>
            <w:vAlign w:val="center"/>
          </w:tcPr>
          <w:p>
            <w:pPr>
              <w:spacing w:line="360" w:lineRule="auto"/>
              <w:jc w:val="left"/>
              <w:rPr>
                <w:rFonts w:hint="eastAsia"/>
                <w:color w:val="auto"/>
                <w:sz w:val="24"/>
                <w:highlight w:val="none"/>
                <w:vertAlign w:val="baseline"/>
              </w:rPr>
            </w:pPr>
          </w:p>
        </w:tc>
        <w:tc>
          <w:tcPr>
            <w:tcW w:w="1226" w:type="dxa"/>
            <w:vAlign w:val="center"/>
          </w:tcPr>
          <w:p>
            <w:pPr>
              <w:spacing w:line="360" w:lineRule="auto"/>
              <w:jc w:val="left"/>
              <w:rPr>
                <w:rFonts w:hint="eastAsia"/>
                <w:color w:val="auto"/>
                <w:sz w:val="24"/>
                <w:highlight w:val="none"/>
                <w:vertAlign w:val="baseline"/>
              </w:rPr>
            </w:pPr>
          </w:p>
        </w:tc>
        <w:tc>
          <w:tcPr>
            <w:tcW w:w="1226" w:type="dxa"/>
            <w:vAlign w:val="center"/>
          </w:tcPr>
          <w:p>
            <w:pPr>
              <w:spacing w:line="360" w:lineRule="auto"/>
              <w:jc w:val="left"/>
              <w:rPr>
                <w:rFonts w:hint="eastAsia"/>
                <w:color w:val="auto"/>
                <w:sz w:val="24"/>
                <w:highlight w:val="none"/>
                <w:vertAlign w:val="baseline"/>
              </w:rPr>
            </w:pPr>
          </w:p>
        </w:tc>
        <w:tc>
          <w:tcPr>
            <w:tcW w:w="1226" w:type="dxa"/>
            <w:vAlign w:val="center"/>
          </w:tcPr>
          <w:p>
            <w:pPr>
              <w:spacing w:line="360" w:lineRule="auto"/>
              <w:jc w:val="left"/>
              <w:rPr>
                <w:rFonts w:hint="eastAsia"/>
                <w:color w:val="auto"/>
                <w:sz w:val="24"/>
                <w:highlight w:val="none"/>
                <w:vertAlign w:val="baseline"/>
              </w:rPr>
            </w:pPr>
          </w:p>
        </w:tc>
        <w:tc>
          <w:tcPr>
            <w:tcW w:w="1226" w:type="dxa"/>
            <w:vAlign w:val="center"/>
          </w:tcPr>
          <w:p>
            <w:pPr>
              <w:spacing w:line="360" w:lineRule="auto"/>
              <w:jc w:val="left"/>
              <w:rPr>
                <w:rFonts w:hint="eastAsia"/>
                <w:color w:val="auto"/>
                <w:sz w:val="24"/>
                <w:highlight w:val="none"/>
                <w:vertAlign w:val="baseline"/>
              </w:rPr>
            </w:pPr>
          </w:p>
        </w:tc>
      </w:tr>
    </w:tbl>
    <w:p>
      <w:pPr>
        <w:spacing w:line="360" w:lineRule="auto"/>
        <w:jc w:val="left"/>
        <w:rPr>
          <w:rFonts w:hint="eastAsia"/>
          <w:color w:val="auto"/>
          <w:sz w:val="24"/>
          <w:highlight w:val="none"/>
        </w:rPr>
      </w:pPr>
    </w:p>
    <w:p>
      <w:pPr>
        <w:pStyle w:val="3"/>
        <w:spacing w:after="0" w:line="360" w:lineRule="auto"/>
        <w:ind w:firstLine="480" w:firstLineChars="200"/>
        <w:rPr>
          <w:rFonts w:hint="eastAsia" w:ascii="宋体" w:hAnsi="宋体" w:eastAsia="宋体" w:cs="Times New Roman"/>
          <w:b w:val="0"/>
          <w:bCs w:val="0"/>
          <w:color w:val="000000"/>
          <w:sz w:val="24"/>
          <w:highlight w:val="none"/>
          <w:lang w:val="en-US" w:eastAsia="zh-CN"/>
        </w:rPr>
      </w:pPr>
      <w:r>
        <w:rPr>
          <w:rFonts w:hint="eastAsia"/>
          <w:color w:val="auto"/>
          <w:sz w:val="24"/>
          <w:highlight w:val="none"/>
        </w:rPr>
        <w:t>注</w:t>
      </w:r>
      <w:r>
        <w:rPr>
          <w:color w:val="auto"/>
          <w:sz w:val="24"/>
          <w:highlight w:val="none"/>
        </w:rPr>
        <w:t>:</w:t>
      </w:r>
      <w:r>
        <w:rPr>
          <w:rFonts w:hint="eastAsia" w:ascii="宋体" w:hAnsi="宋体" w:cs="宋体"/>
          <w:color w:val="000000"/>
          <w:sz w:val="24"/>
        </w:rPr>
        <w:t>所有报价均用人民币表示，所报单价是包干价即包括但不限于人工费、运输费、搬运费、下车费、管理费、利润、税金等完成本项目所需的一切费用</w:t>
      </w:r>
      <w:r>
        <w:rPr>
          <w:rFonts w:hint="eastAsia" w:ascii="宋体" w:hAnsi="宋体" w:eastAsia="宋体" w:cs="Times New Roman"/>
          <w:b w:val="0"/>
          <w:bCs w:val="0"/>
          <w:color w:val="000000"/>
          <w:sz w:val="24"/>
          <w:highlight w:val="none"/>
          <w:lang w:val="en-US" w:eastAsia="zh-CN"/>
        </w:rPr>
        <w:t>。</w:t>
      </w:r>
    </w:p>
    <w:p>
      <w:pPr>
        <w:numPr>
          <w:ilvl w:val="0"/>
          <w:numId w:val="0"/>
        </w:numPr>
        <w:adjustRightInd w:val="0"/>
        <w:spacing w:beforeLines="0" w:line="240" w:lineRule="auto"/>
        <w:ind w:firstLine="240" w:firstLineChars="100"/>
        <w:jc w:val="left"/>
        <w:rPr>
          <w:rFonts w:hint="eastAsia" w:ascii="宋体" w:hAnsi="宋体"/>
          <w:b w:val="0"/>
          <w:bCs w:val="0"/>
          <w:color w:val="000000"/>
          <w:sz w:val="24"/>
          <w:highlight w:val="none"/>
          <w:lang w:val="en-US" w:eastAsia="zh-CN"/>
        </w:rPr>
      </w:pPr>
      <w:r>
        <w:rPr>
          <w:rFonts w:hint="eastAsia" w:ascii="宋体" w:hAnsi="宋体" w:eastAsia="宋体" w:cs="Times New Roman"/>
          <w:b w:val="0"/>
          <w:bCs w:val="0"/>
          <w:color w:val="000000"/>
          <w:sz w:val="24"/>
          <w:highlight w:val="none"/>
          <w:lang w:val="en-US" w:eastAsia="zh-CN"/>
        </w:rPr>
        <w:t>2.报价表内的单价不能超过第</w:t>
      </w:r>
      <w:r>
        <w:rPr>
          <w:rFonts w:hint="eastAsia" w:ascii="宋体" w:hAnsi="宋体"/>
          <w:b w:val="0"/>
          <w:bCs w:val="0"/>
          <w:color w:val="000000"/>
          <w:sz w:val="24"/>
          <w:highlight w:val="none"/>
          <w:lang w:val="en-US" w:eastAsia="zh-CN"/>
        </w:rPr>
        <w:t>三章中的最高单价限价和最高总价限价。</w:t>
      </w:r>
    </w:p>
    <w:p>
      <w:pPr>
        <w:numPr>
          <w:ilvl w:val="0"/>
          <w:numId w:val="0"/>
        </w:numPr>
        <w:adjustRightInd w:val="0"/>
        <w:spacing w:beforeLines="0"/>
        <w:ind w:firstLine="240" w:firstLineChars="100"/>
        <w:jc w:val="left"/>
        <w:rPr>
          <w:rFonts w:hint="eastAsia"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cs="宋体"/>
          <w:sz w:val="24"/>
          <w:szCs w:val="24"/>
          <w:highlight w:val="none"/>
          <w:lang w:val="en-US" w:eastAsia="zh-CN"/>
        </w:rPr>
        <w:t>报价保留0位小数（不作废标处理）。</w:t>
      </w:r>
    </w:p>
    <w:p>
      <w:pPr>
        <w:pStyle w:val="3"/>
        <w:ind w:firstLine="241" w:firstLineChars="100"/>
        <w:rPr>
          <w:rFonts w:hint="default"/>
          <w:b/>
          <w:bCs/>
          <w:highlight w:val="yellow"/>
          <w:lang w:val="en-US"/>
        </w:rPr>
      </w:pPr>
      <w:r>
        <w:rPr>
          <w:rFonts w:hint="eastAsia" w:cs="宋体"/>
          <w:b/>
          <w:bCs/>
          <w:sz w:val="24"/>
          <w:szCs w:val="24"/>
          <w:highlight w:val="yellow"/>
          <w:lang w:val="en-US" w:eastAsia="zh-CN"/>
        </w:rPr>
        <w:t>4.供应商报价税率按照13%计算，最终结算按供应商开票税率按实结算（税率差价按实结算）。</w:t>
      </w:r>
    </w:p>
    <w:p>
      <w:pPr>
        <w:spacing w:line="360" w:lineRule="auto"/>
        <w:ind w:firstLine="480" w:firstLineChars="200"/>
        <w:jc w:val="left"/>
        <w:rPr>
          <w:color w:val="auto"/>
          <w:sz w:val="24"/>
          <w:highlight w:val="none"/>
        </w:rPr>
      </w:pPr>
      <w:r>
        <w:rPr>
          <w:rFonts w:hint="eastAsia"/>
          <w:color w:val="auto"/>
          <w:sz w:val="24"/>
          <w:highlight w:val="none"/>
        </w:rPr>
        <w:t>..</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Style w:val="31"/>
          <w:rFonts w:hint="eastAsia"/>
        </w:rPr>
      </w:pPr>
      <w:r>
        <w:rPr>
          <w:rFonts w:ascii="宋体" w:hAnsi="宋体" w:cs="Arial"/>
          <w:b/>
          <w:bCs/>
          <w:color w:val="auto"/>
          <w:sz w:val="32"/>
          <w:szCs w:val="32"/>
          <w:highlight w:val="none"/>
        </w:rPr>
        <w:br w:type="page"/>
      </w:r>
      <w:bookmarkStart w:id="59" w:name="_Toc91771168"/>
      <w:bookmarkStart w:id="60" w:name="_Toc29774"/>
      <w:r>
        <w:rPr>
          <w:rStyle w:val="31"/>
        </w:rPr>
        <w:t>五</w:t>
      </w:r>
      <w:r>
        <w:rPr>
          <w:rStyle w:val="31"/>
          <w:rFonts w:hint="eastAsia"/>
        </w:rPr>
        <w:t>、承诺函</w:t>
      </w:r>
      <w:bookmarkEnd w:id="59"/>
      <w:bookmarkEnd w:id="60"/>
    </w:p>
    <w:p>
      <w:pPr>
        <w:spacing w:line="312" w:lineRule="auto"/>
        <w:jc w:val="left"/>
        <w:rPr>
          <w:rFonts w:hint="eastAsia"/>
          <w:color w:val="auto"/>
          <w:sz w:val="24"/>
          <w:highlight w:val="none"/>
        </w:rPr>
      </w:pPr>
      <w:r>
        <w:rPr>
          <w:rFonts w:hint="eastAsia"/>
          <w:color w:val="auto"/>
          <w:sz w:val="24"/>
          <w:highlight w:val="none"/>
        </w:rPr>
        <w:t>XXX（采购人名称）：</w:t>
      </w:r>
    </w:p>
    <w:p>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spacing w:line="312" w:lineRule="auto"/>
        <w:ind w:firstLine="480" w:firstLineChars="200"/>
        <w:jc w:val="left"/>
        <w:rPr>
          <w:color w:val="auto"/>
          <w:sz w:val="24"/>
          <w:highlight w:val="none"/>
        </w:rPr>
      </w:pPr>
      <w:r>
        <w:rPr>
          <w:rFonts w:hint="eastAsia"/>
          <w:color w:val="auto"/>
          <w:sz w:val="24"/>
          <w:highlight w:val="none"/>
        </w:rPr>
        <w:t>（七）根据采购项目提出的特殊条件：</w:t>
      </w:r>
      <w:r>
        <w:rPr>
          <w:rFonts w:hint="eastAsia"/>
          <w:color w:val="auto"/>
          <w:sz w:val="24"/>
          <w:highlight w:val="none"/>
          <w:lang w:val="en-US" w:eastAsia="zh-CN"/>
        </w:rPr>
        <w:t>/</w:t>
      </w:r>
      <w:r>
        <w:rPr>
          <w:rFonts w:hint="eastAsia"/>
          <w:color w:val="auto"/>
          <w:sz w:val="24"/>
          <w:highlight w:val="none"/>
        </w:rPr>
        <w:t xml:space="preserve"> </w:t>
      </w:r>
    </w:p>
    <w:p>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Style w:val="31"/>
          <w:rFonts w:hint="eastAsia"/>
        </w:rPr>
      </w:pPr>
      <w:r>
        <w:rPr>
          <w:rFonts w:ascii="宋体" w:hAnsi="宋体" w:cs="Arial"/>
          <w:b/>
          <w:bCs/>
          <w:color w:val="auto"/>
          <w:highlight w:val="none"/>
        </w:rPr>
        <w:br w:type="page"/>
      </w:r>
      <w:bookmarkStart w:id="61" w:name="_Toc9917"/>
      <w:bookmarkStart w:id="62" w:name="_Toc2589"/>
      <w:bookmarkStart w:id="63" w:name="_Toc2900"/>
      <w:bookmarkStart w:id="64" w:name="_Toc16489"/>
      <w:bookmarkStart w:id="65" w:name="_Toc91771169"/>
      <w:bookmarkStart w:id="66" w:name="_Toc30219"/>
      <w:bookmarkStart w:id="67" w:name="_Toc8186"/>
      <w:r>
        <w:rPr>
          <w:rStyle w:val="31"/>
        </w:rPr>
        <w:t>六</w:t>
      </w:r>
      <w:r>
        <w:rPr>
          <w:rStyle w:val="31"/>
          <w:rFonts w:hint="eastAsia"/>
        </w:rPr>
        <w:t>、竞标人廉洁自律承诺书</w:t>
      </w:r>
      <w:bookmarkEnd w:id="61"/>
      <w:bookmarkEnd w:id="62"/>
      <w:bookmarkEnd w:id="63"/>
      <w:bookmarkEnd w:id="64"/>
      <w:bookmarkEnd w:id="65"/>
      <w:bookmarkEnd w:id="66"/>
      <w:bookmarkEnd w:id="67"/>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Style w:val="31"/>
          <w:rFonts w:hint="eastAsia"/>
        </w:rPr>
      </w:pPr>
      <w:r>
        <w:rPr>
          <w:rFonts w:ascii="宋体" w:hAnsi="宋体" w:cs="Arial"/>
          <w:b/>
          <w:bCs/>
          <w:color w:val="auto"/>
          <w:sz w:val="32"/>
          <w:szCs w:val="32"/>
          <w:highlight w:val="none"/>
        </w:rPr>
        <w:br w:type="page"/>
      </w:r>
      <w:bookmarkStart w:id="68" w:name="_Toc91771170"/>
      <w:bookmarkStart w:id="69" w:name="_Toc23213"/>
      <w:r>
        <w:rPr>
          <w:rStyle w:val="31"/>
          <w:rFonts w:hint="eastAsia"/>
        </w:rPr>
        <w:t>七、供应商基本情况表</w:t>
      </w:r>
      <w:bookmarkEnd w:id="68"/>
      <w:bookmarkEnd w:id="69"/>
    </w:p>
    <w:tbl>
      <w:tblPr>
        <w:tblStyle w:val="16"/>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adjustRightInd w:val="0"/>
        <w:spacing w:line="360" w:lineRule="auto"/>
        <w:jc w:val="center"/>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70" w:name="_Toc91771172"/>
      <w:bookmarkStart w:id="71" w:name="_Toc4769"/>
      <w:r>
        <w:rPr>
          <w:rStyle w:val="31"/>
          <w:rFonts w:hint="eastAsia"/>
          <w:lang w:val="en-US" w:eastAsia="zh-CN"/>
        </w:rPr>
        <w:t>八</w:t>
      </w:r>
      <w:r>
        <w:rPr>
          <w:rStyle w:val="31"/>
          <w:rFonts w:hint="eastAsia"/>
        </w:rPr>
        <w:t>、商务、技术、服务要求应答表</w:t>
      </w:r>
      <w:bookmarkEnd w:id="70"/>
      <w:bookmarkEnd w:id="71"/>
    </w:p>
    <w:tbl>
      <w:tblPr>
        <w:tblStyle w:val="16"/>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pPr>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询价文件第三章技术要求</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询价文件第三章服务要求</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pPr>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询价文件第三章商务要求</w:t>
            </w:r>
          </w:p>
        </w:tc>
        <w:tc>
          <w:tcPr>
            <w:tcW w:w="3398" w:type="dxa"/>
            <w:noWrap w:val="0"/>
            <w:vAlign w:val="center"/>
          </w:tcPr>
          <w:p>
            <w:pPr>
              <w:jc w:val="center"/>
              <w:rPr>
                <w:rFonts w:hint="eastAsia" w:ascii="宋体" w:hAnsi="宋体"/>
                <w:color w:val="auto"/>
                <w:sz w:val="24"/>
                <w:highlight w:val="none"/>
              </w:rPr>
            </w:pPr>
          </w:p>
        </w:tc>
      </w:tr>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b/>
          <w:color w:val="auto"/>
          <w:sz w:val="32"/>
          <w:szCs w:val="32"/>
          <w:highlight w:val="none"/>
        </w:rPr>
      </w:pPr>
      <w:bookmarkStart w:id="72" w:name="_Toc797"/>
      <w:bookmarkStart w:id="73" w:name="_Toc91771175"/>
      <w:r>
        <w:rPr>
          <w:rFonts w:hint="eastAsia" w:ascii="黑体" w:hAnsi="黑体" w:eastAsia="黑体"/>
          <w:color w:val="auto"/>
          <w:sz w:val="36"/>
          <w:highlight w:val="none"/>
        </w:rPr>
        <w:br w:type="page"/>
      </w:r>
      <w:bookmarkStart w:id="74" w:name="_Toc91771173"/>
      <w:bookmarkStart w:id="75" w:name="_Toc3854"/>
      <w:r>
        <w:rPr>
          <w:rStyle w:val="31"/>
          <w:rFonts w:hint="eastAsia"/>
          <w:lang w:val="en-US" w:eastAsia="zh-CN"/>
        </w:rPr>
        <w:t>九</w:t>
      </w:r>
      <w:r>
        <w:rPr>
          <w:rStyle w:val="31"/>
          <w:rFonts w:hint="eastAsia"/>
        </w:rPr>
        <w:t>、报价产品技术参数表</w:t>
      </w:r>
      <w:bookmarkEnd w:id="74"/>
      <w:bookmarkEnd w:id="75"/>
    </w:p>
    <w:tbl>
      <w:tblPr>
        <w:tblStyle w:val="16"/>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316"/>
        <w:gridCol w:w="2870"/>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b/>
                <w:color w:val="auto"/>
                <w:sz w:val="24"/>
                <w:highlight w:val="none"/>
              </w:rPr>
            </w:pPr>
            <w:r>
              <w:rPr>
                <w:rFonts w:hint="eastAsia"/>
                <w:b/>
                <w:color w:val="auto"/>
                <w:sz w:val="24"/>
                <w:highlight w:val="none"/>
              </w:rPr>
              <w:t>序号</w:t>
            </w:r>
          </w:p>
        </w:tc>
        <w:tc>
          <w:tcPr>
            <w:tcW w:w="2316" w:type="dxa"/>
            <w:noWrap w:val="0"/>
            <w:vAlign w:val="center"/>
          </w:tcPr>
          <w:p>
            <w:pPr>
              <w:jc w:val="center"/>
              <w:rPr>
                <w:rFonts w:hint="eastAsia"/>
                <w:b/>
                <w:color w:val="auto"/>
                <w:sz w:val="24"/>
                <w:highlight w:val="none"/>
              </w:rPr>
            </w:pPr>
            <w:r>
              <w:rPr>
                <w:rFonts w:hint="eastAsia"/>
                <w:b/>
                <w:color w:val="auto"/>
                <w:sz w:val="24"/>
                <w:highlight w:val="none"/>
              </w:rPr>
              <w:t>货物（设备）名称</w:t>
            </w:r>
          </w:p>
        </w:tc>
        <w:tc>
          <w:tcPr>
            <w:tcW w:w="2870" w:type="dxa"/>
            <w:noWrap w:val="0"/>
            <w:vAlign w:val="center"/>
          </w:tcPr>
          <w:p>
            <w:pPr>
              <w:jc w:val="center"/>
              <w:rPr>
                <w:rFonts w:hint="eastAsia"/>
                <w:b/>
                <w:color w:val="auto"/>
                <w:sz w:val="24"/>
                <w:highlight w:val="none"/>
              </w:rPr>
            </w:pPr>
            <w:r>
              <w:rPr>
                <w:rFonts w:hint="eastAsia"/>
                <w:b/>
                <w:color w:val="auto"/>
                <w:sz w:val="24"/>
                <w:highlight w:val="none"/>
              </w:rPr>
              <w:t>采购文件要求</w:t>
            </w:r>
          </w:p>
        </w:tc>
        <w:tc>
          <w:tcPr>
            <w:tcW w:w="2977" w:type="dxa"/>
            <w:noWrap w:val="0"/>
            <w:vAlign w:val="center"/>
          </w:tcPr>
          <w:p>
            <w:pPr>
              <w:jc w:val="center"/>
              <w:rPr>
                <w:rFonts w:hint="eastAsia"/>
                <w:b/>
                <w:color w:val="auto"/>
                <w:sz w:val="24"/>
                <w:highlight w:val="none"/>
              </w:rPr>
            </w:pPr>
            <w:r>
              <w:rPr>
                <w:rFonts w:hint="eastAsia" w:hAnsi="宋体"/>
                <w:b/>
                <w:color w:val="auto"/>
                <w:sz w:val="24"/>
                <w:szCs w:val="28"/>
                <w:highlight w:val="none"/>
              </w:rPr>
              <w:t>报价</w:t>
            </w:r>
            <w:r>
              <w:rPr>
                <w:rFonts w:hint="eastAsia"/>
                <w:b/>
                <w:color w:val="auto"/>
                <w:sz w:val="24"/>
                <w:highlight w:val="none"/>
              </w:rPr>
              <w:t>产品技术参数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1</w:t>
            </w:r>
          </w:p>
        </w:tc>
        <w:tc>
          <w:tcPr>
            <w:tcW w:w="2316" w:type="dxa"/>
            <w:noWrap w:val="0"/>
            <w:vAlign w:val="center"/>
          </w:tcPr>
          <w:p>
            <w:pPr>
              <w:rPr>
                <w:rFonts w:hint="eastAsia"/>
                <w:color w:val="auto"/>
                <w:sz w:val="24"/>
                <w:highlight w:val="none"/>
              </w:rPr>
            </w:pPr>
          </w:p>
        </w:tc>
        <w:tc>
          <w:tcPr>
            <w:tcW w:w="2870" w:type="dxa"/>
            <w:noWrap w:val="0"/>
            <w:vAlign w:val="center"/>
          </w:tcPr>
          <w:p>
            <w:pPr>
              <w:rPr>
                <w:rFonts w:hint="eastAsia"/>
                <w:color w:val="auto"/>
                <w:sz w:val="24"/>
                <w:highlight w:val="none"/>
              </w:rPr>
            </w:pP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2</w:t>
            </w:r>
          </w:p>
        </w:tc>
        <w:tc>
          <w:tcPr>
            <w:tcW w:w="2316" w:type="dxa"/>
            <w:noWrap w:val="0"/>
            <w:vAlign w:val="center"/>
          </w:tcPr>
          <w:p>
            <w:pPr>
              <w:rPr>
                <w:rFonts w:hint="eastAsia"/>
                <w:color w:val="auto"/>
                <w:sz w:val="24"/>
                <w:highlight w:val="none"/>
              </w:rPr>
            </w:pPr>
          </w:p>
        </w:tc>
        <w:tc>
          <w:tcPr>
            <w:tcW w:w="2870" w:type="dxa"/>
            <w:noWrap w:val="0"/>
            <w:vAlign w:val="center"/>
          </w:tcPr>
          <w:p>
            <w:pPr>
              <w:rPr>
                <w:rFonts w:hint="eastAsia"/>
                <w:color w:val="auto"/>
                <w:sz w:val="24"/>
                <w:highlight w:val="none"/>
              </w:rPr>
            </w:pP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3</w:t>
            </w:r>
          </w:p>
        </w:tc>
        <w:tc>
          <w:tcPr>
            <w:tcW w:w="2316" w:type="dxa"/>
            <w:noWrap w:val="0"/>
            <w:vAlign w:val="center"/>
          </w:tcPr>
          <w:p>
            <w:pPr>
              <w:rPr>
                <w:rFonts w:hint="eastAsia"/>
                <w:color w:val="auto"/>
                <w:sz w:val="24"/>
                <w:highlight w:val="none"/>
              </w:rPr>
            </w:pPr>
          </w:p>
        </w:tc>
        <w:tc>
          <w:tcPr>
            <w:tcW w:w="2870" w:type="dxa"/>
            <w:noWrap w:val="0"/>
            <w:vAlign w:val="center"/>
          </w:tcPr>
          <w:p>
            <w:pPr>
              <w:rPr>
                <w:rFonts w:hint="eastAsia"/>
                <w:color w:val="auto"/>
                <w:sz w:val="24"/>
                <w:highlight w:val="none"/>
              </w:rPr>
            </w:pP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4</w:t>
            </w:r>
          </w:p>
        </w:tc>
        <w:tc>
          <w:tcPr>
            <w:tcW w:w="2316" w:type="dxa"/>
            <w:noWrap w:val="0"/>
            <w:vAlign w:val="center"/>
          </w:tcPr>
          <w:p>
            <w:pPr>
              <w:rPr>
                <w:rFonts w:hint="eastAsia"/>
                <w:color w:val="auto"/>
                <w:sz w:val="24"/>
                <w:highlight w:val="none"/>
              </w:rPr>
            </w:pPr>
          </w:p>
        </w:tc>
        <w:tc>
          <w:tcPr>
            <w:tcW w:w="2870" w:type="dxa"/>
            <w:noWrap w:val="0"/>
            <w:vAlign w:val="center"/>
          </w:tcPr>
          <w:p>
            <w:pPr>
              <w:rPr>
                <w:rFonts w:hint="eastAsia"/>
                <w:color w:val="auto"/>
                <w:sz w:val="24"/>
                <w:highlight w:val="none"/>
              </w:rPr>
            </w:pP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5</w:t>
            </w:r>
          </w:p>
        </w:tc>
        <w:tc>
          <w:tcPr>
            <w:tcW w:w="2316" w:type="dxa"/>
            <w:noWrap w:val="0"/>
            <w:vAlign w:val="center"/>
          </w:tcPr>
          <w:p>
            <w:pPr>
              <w:rPr>
                <w:rFonts w:hint="eastAsia"/>
                <w:color w:val="auto"/>
                <w:sz w:val="24"/>
                <w:highlight w:val="none"/>
              </w:rPr>
            </w:pPr>
          </w:p>
        </w:tc>
        <w:tc>
          <w:tcPr>
            <w:tcW w:w="2870" w:type="dxa"/>
            <w:noWrap w:val="0"/>
            <w:vAlign w:val="center"/>
          </w:tcPr>
          <w:p>
            <w:pPr>
              <w:rPr>
                <w:rFonts w:hint="eastAsia"/>
                <w:color w:val="auto"/>
                <w:sz w:val="24"/>
                <w:highlight w:val="none"/>
              </w:rPr>
            </w:pP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6</w:t>
            </w:r>
          </w:p>
        </w:tc>
        <w:tc>
          <w:tcPr>
            <w:tcW w:w="2316" w:type="dxa"/>
            <w:noWrap w:val="0"/>
            <w:vAlign w:val="center"/>
          </w:tcPr>
          <w:p>
            <w:pPr>
              <w:rPr>
                <w:rFonts w:hint="eastAsia"/>
                <w:color w:val="auto"/>
                <w:sz w:val="24"/>
                <w:highlight w:val="none"/>
              </w:rPr>
            </w:pPr>
          </w:p>
        </w:tc>
        <w:tc>
          <w:tcPr>
            <w:tcW w:w="2870" w:type="dxa"/>
            <w:noWrap w:val="0"/>
            <w:vAlign w:val="center"/>
          </w:tcPr>
          <w:p>
            <w:pPr>
              <w:rPr>
                <w:rFonts w:hint="eastAsia"/>
                <w:color w:val="auto"/>
                <w:sz w:val="24"/>
                <w:highlight w:val="none"/>
              </w:rPr>
            </w:pP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7</w:t>
            </w:r>
          </w:p>
        </w:tc>
        <w:tc>
          <w:tcPr>
            <w:tcW w:w="2316" w:type="dxa"/>
            <w:noWrap w:val="0"/>
            <w:vAlign w:val="center"/>
          </w:tcPr>
          <w:p>
            <w:pPr>
              <w:rPr>
                <w:rFonts w:hint="eastAsia"/>
                <w:color w:val="auto"/>
                <w:sz w:val="24"/>
                <w:highlight w:val="none"/>
              </w:rPr>
            </w:pPr>
          </w:p>
        </w:tc>
        <w:tc>
          <w:tcPr>
            <w:tcW w:w="2870" w:type="dxa"/>
            <w:noWrap w:val="0"/>
            <w:vAlign w:val="center"/>
          </w:tcPr>
          <w:p>
            <w:pPr>
              <w:rPr>
                <w:rFonts w:hint="eastAsia"/>
                <w:color w:val="auto"/>
                <w:sz w:val="24"/>
                <w:highlight w:val="none"/>
              </w:rPr>
            </w:pPr>
          </w:p>
        </w:tc>
        <w:tc>
          <w:tcPr>
            <w:tcW w:w="2977" w:type="dxa"/>
            <w:noWrap w:val="0"/>
            <w:vAlign w:val="center"/>
          </w:tcPr>
          <w:p>
            <w:pPr>
              <w:rPr>
                <w:rFonts w:hint="eastAsia"/>
                <w:color w:val="auto"/>
                <w:sz w:val="24"/>
                <w:highlight w:val="none"/>
              </w:rPr>
            </w:pPr>
          </w:p>
        </w:tc>
      </w:tr>
    </w:tbl>
    <w:p>
      <w:pPr>
        <w:spacing w:line="360" w:lineRule="auto"/>
        <w:jc w:val="left"/>
        <w:rPr>
          <w:rFonts w:hint="eastAsia"/>
          <w:color w:val="auto"/>
          <w:sz w:val="24"/>
          <w:highlight w:val="none"/>
        </w:rPr>
      </w:pPr>
      <w:r>
        <w:rPr>
          <w:rFonts w:hint="eastAsia"/>
          <w:color w:val="auto"/>
          <w:sz w:val="24"/>
          <w:highlight w:val="none"/>
        </w:rPr>
        <w:t>注：1.供应商必须把采购项目的全部技术参数列入此表。</w:t>
      </w:r>
    </w:p>
    <w:p>
      <w:pPr>
        <w:spacing w:line="360" w:lineRule="auto"/>
        <w:ind w:firstLine="480" w:firstLineChars="200"/>
        <w:jc w:val="left"/>
        <w:rPr>
          <w:rFonts w:hint="eastAsia"/>
          <w:color w:val="auto"/>
          <w:sz w:val="24"/>
          <w:highlight w:val="none"/>
        </w:rPr>
      </w:pPr>
      <w:r>
        <w:rPr>
          <w:rFonts w:hint="eastAsia"/>
          <w:color w:val="auto"/>
          <w:sz w:val="24"/>
          <w:highlight w:val="none"/>
        </w:rPr>
        <w:t>2.按照采购项目技术要求的顺序对应填写。</w:t>
      </w:r>
    </w:p>
    <w:p>
      <w:pPr>
        <w:spacing w:line="360" w:lineRule="auto"/>
        <w:ind w:firstLine="480" w:firstLineChars="200"/>
        <w:jc w:val="left"/>
        <w:rPr>
          <w:rFonts w:hint="eastAsia"/>
          <w:color w:val="auto"/>
          <w:sz w:val="24"/>
          <w:highlight w:val="none"/>
        </w:rPr>
      </w:pPr>
      <w:r>
        <w:rPr>
          <w:rFonts w:hint="eastAsia"/>
          <w:color w:val="auto"/>
          <w:sz w:val="24"/>
          <w:highlight w:val="none"/>
        </w:rPr>
        <w:t>3.供应商必须据实填写，不得虚假填写，否则，其响应文件无效并按规定追究其相关责任。</w:t>
      </w:r>
    </w:p>
    <w:p>
      <w:pPr>
        <w:rPr>
          <w:rFonts w:hint="eastAsia"/>
          <w:color w:val="auto"/>
          <w:sz w:val="24"/>
          <w:highlight w:val="none"/>
        </w:rPr>
      </w:pPr>
    </w:p>
    <w:p>
      <w:pPr>
        <w:rPr>
          <w:rFonts w:hint="eastAsia"/>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rPr>
          <w:rFonts w:hint="eastAsia" w:ascii="黑体" w:hAnsi="黑体" w:eastAsia="黑体"/>
          <w:color w:val="auto"/>
          <w:sz w:val="36"/>
          <w:highlight w:val="none"/>
        </w:rPr>
      </w:pPr>
      <w:r>
        <w:rPr>
          <w:rFonts w:hint="eastAsia"/>
          <w:color w:val="auto"/>
          <w:sz w:val="32"/>
          <w:szCs w:val="32"/>
          <w:highlight w:val="none"/>
        </w:rPr>
        <w:br w:type="page"/>
      </w:r>
    </w:p>
    <w:p>
      <w:pPr>
        <w:pStyle w:val="5"/>
        <w:bidi w:val="0"/>
        <w:jc w:val="center"/>
        <w:rPr>
          <w:rFonts w:hint="eastAsia"/>
        </w:rPr>
      </w:pPr>
      <w:bookmarkStart w:id="76" w:name="_Toc22424"/>
      <w:r>
        <w:rPr>
          <w:rFonts w:hint="eastAsia"/>
        </w:rPr>
        <w:t>第五章 保证金退还申请书</w:t>
      </w:r>
      <w:bookmarkEnd w:id="72"/>
      <w:bookmarkEnd w:id="73"/>
      <w:bookmarkEnd w:id="76"/>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3"/>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3"/>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pStyle w:val="3"/>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pPr>
        <w:pStyle w:val="3"/>
        <w:spacing w:line="276" w:lineRule="auto"/>
        <w:ind w:firstLine="484" w:firstLineChars="202"/>
        <w:rPr>
          <w:rFonts w:hint="eastAsia"/>
          <w:color w:val="auto"/>
          <w:sz w:val="24"/>
          <w:highlight w:val="none"/>
        </w:rPr>
      </w:pPr>
      <w:r>
        <w:rPr>
          <w:rFonts w:hint="eastAsia"/>
          <w:color w:val="auto"/>
          <w:sz w:val="24"/>
          <w:highlight w:val="none"/>
        </w:rPr>
        <w:t>4.联系电话：0830-</w:t>
      </w:r>
      <w:r>
        <w:rPr>
          <w:rFonts w:hint="eastAsia"/>
          <w:color w:val="auto"/>
          <w:sz w:val="24"/>
          <w:highlight w:val="none"/>
          <w:lang w:val="en-US" w:eastAsia="zh-CN"/>
        </w:rPr>
        <w:t>6661300</w:t>
      </w:r>
      <w:r>
        <w:rPr>
          <w:rFonts w:hint="eastAsia"/>
          <w:color w:val="auto"/>
          <w:sz w:val="24"/>
          <w:highlight w:val="none"/>
        </w:rPr>
        <w:t xml:space="preserve">           联系人：</w:t>
      </w:r>
      <w:r>
        <w:rPr>
          <w:rFonts w:hint="eastAsia"/>
          <w:color w:val="auto"/>
          <w:sz w:val="24"/>
          <w:highlight w:val="none"/>
          <w:lang w:val="en-US" w:eastAsia="zh-CN"/>
        </w:rPr>
        <w:t>李女士</w:t>
      </w:r>
      <w:r>
        <w:rPr>
          <w:rFonts w:hint="eastAsia"/>
          <w:color w:val="auto"/>
          <w:sz w:val="24"/>
          <w:highlight w:val="none"/>
        </w:rPr>
        <w:t xml:space="preserve"> </w:t>
      </w:r>
    </w:p>
    <w:p>
      <w:pPr>
        <w:spacing w:before="156" w:beforeLines="50" w:after="468" w:afterLines="150"/>
        <w:jc w:val="center"/>
        <w:outlineLvl w:val="0"/>
        <w:rPr>
          <w:rStyle w:val="28"/>
          <w:rFonts w:hint="eastAsia" w:eastAsia="黑体"/>
          <w:color w:val="auto"/>
          <w:highlight w:val="none"/>
        </w:rPr>
      </w:pPr>
      <w:r>
        <w:rPr>
          <w:rFonts w:hint="eastAsia"/>
          <w:color w:val="auto"/>
          <w:highlight w:val="none"/>
        </w:rPr>
        <w:br w:type="page"/>
      </w:r>
      <w:bookmarkStart w:id="77" w:name="_Toc91771176"/>
      <w:bookmarkStart w:id="78" w:name="_Toc1148"/>
      <w:r>
        <w:rPr>
          <w:rStyle w:val="31"/>
        </w:rPr>
        <w:t>第六章</w:t>
      </w:r>
      <w:r>
        <w:rPr>
          <w:rStyle w:val="31"/>
          <w:rFonts w:hint="eastAsia"/>
        </w:rPr>
        <w:t xml:space="preserve"> </w:t>
      </w:r>
      <w:r>
        <w:rPr>
          <w:rStyle w:val="31"/>
        </w:rPr>
        <w:t>评审方法</w:t>
      </w:r>
      <w:bookmarkEnd w:id="77"/>
      <w:bookmarkEnd w:id="78"/>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9" w:name="_Toc91771177"/>
      <w:bookmarkStart w:id="80" w:name="_Toc27258"/>
      <w:r>
        <w:rPr>
          <w:rFonts w:hint="eastAsia" w:ascii="宋体" w:hAnsi="宋体"/>
          <w:b/>
          <w:bCs/>
          <w:color w:val="auto"/>
          <w:sz w:val="24"/>
          <w:highlight w:val="none"/>
        </w:rPr>
        <w:t>一、询价程序</w:t>
      </w:r>
      <w:bookmarkEnd w:id="79"/>
      <w:bookmarkEnd w:id="80"/>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1" w:name="_Toc91771178"/>
      <w:bookmarkStart w:id="82" w:name="_Toc12787"/>
      <w:r>
        <w:rPr>
          <w:rFonts w:hint="eastAsia" w:ascii="宋体" w:hAnsi="宋体"/>
          <w:b/>
          <w:bCs/>
          <w:color w:val="auto"/>
          <w:sz w:val="24"/>
          <w:highlight w:val="none"/>
        </w:rPr>
        <w:t>二、评审程序、评审方法、评审标准</w:t>
      </w:r>
      <w:bookmarkEnd w:id="81"/>
      <w:bookmarkEnd w:id="82"/>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3" w:name="_Toc91771179"/>
      <w:bookmarkStart w:id="84" w:name="_Toc28890"/>
      <w:r>
        <w:rPr>
          <w:rFonts w:hint="eastAsia" w:ascii="宋体" w:hAnsi="宋体"/>
          <w:b/>
          <w:bCs/>
          <w:color w:val="auto"/>
          <w:sz w:val="24"/>
          <w:highlight w:val="none"/>
        </w:rPr>
        <w:t>三、评审纪律</w:t>
      </w:r>
      <w:bookmarkEnd w:id="83"/>
      <w:bookmarkEnd w:id="84"/>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7"/>
      <w:bookmarkEnd w:id="38"/>
      <w:bookmarkEnd w:id="39"/>
      <w:bookmarkStart w:id="85" w:name="_Hlt101846155"/>
      <w:bookmarkEnd w:id="85"/>
      <w:bookmarkStart w:id="86" w:name="_Toc217446099"/>
      <w:bookmarkStart w:id="87" w:name="_Toc21744605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88" w:name="_Toc91771180"/>
      <w:bookmarkStart w:id="89" w:name="_Toc12062"/>
      <w:r>
        <w:rPr>
          <w:rStyle w:val="31"/>
          <w:rFonts w:hint="eastAsia"/>
        </w:rPr>
        <w:t>第七章 采购合同（草案）</w:t>
      </w:r>
      <w:bookmarkEnd w:id="88"/>
      <w:bookmarkEnd w:id="89"/>
    </w:p>
    <w:bookmarkEnd w:id="86"/>
    <w:bookmarkEnd w:id="87"/>
    <w:p>
      <w:pPr>
        <w:pStyle w:val="9"/>
        <w:jc w:val="center"/>
        <w:rPr>
          <w:rFonts w:hint="eastAsia"/>
          <w:sz w:val="72"/>
          <w:szCs w:val="72"/>
        </w:rPr>
      </w:pPr>
    </w:p>
    <w:p>
      <w:pPr>
        <w:spacing w:line="360" w:lineRule="auto"/>
        <w:rPr>
          <w:rFonts w:hint="eastAsia" w:ascii="楷体" w:hAnsi="楷体" w:eastAsia="楷体" w:cs="楷体"/>
          <w:sz w:val="28"/>
          <w:szCs w:val="28"/>
          <w:highlight w:val="none"/>
        </w:rPr>
      </w:pPr>
      <w:r>
        <w:rPr>
          <w:rFonts w:hint="eastAsia" w:ascii="楷体" w:hAnsi="楷体" w:eastAsia="楷体" w:cs="楷体"/>
          <w:sz w:val="28"/>
          <w:szCs w:val="28"/>
          <w:highlight w:val="none"/>
        </w:rPr>
        <w:t>采购人（甲方）：</w:t>
      </w:r>
      <w:r>
        <w:rPr>
          <w:rFonts w:hint="eastAsia" w:ascii="楷体" w:hAnsi="楷体" w:eastAsia="楷体" w:cs="楷体"/>
          <w:sz w:val="28"/>
          <w:szCs w:val="28"/>
          <w:highlight w:val="none"/>
          <w:lang w:val="en-US" w:eastAsia="zh-CN"/>
        </w:rPr>
        <w:t>泸州市江阳区醉美城市公园管理有限公司</w:t>
      </w:r>
    </w:p>
    <w:p>
      <w:pPr>
        <w:spacing w:line="360" w:lineRule="auto"/>
        <w:rPr>
          <w:rFonts w:hint="default" w:ascii="楷体" w:hAnsi="楷体" w:eastAsia="楷体" w:cs="楷体"/>
          <w:sz w:val="28"/>
          <w:szCs w:val="28"/>
          <w:highlight w:val="none"/>
          <w:lang w:val="en-US" w:eastAsia="zh-CN"/>
        </w:rPr>
      </w:pPr>
      <w:r>
        <w:rPr>
          <w:rFonts w:hint="eastAsia" w:ascii="楷体" w:hAnsi="楷体" w:eastAsia="楷体" w:cs="楷体"/>
          <w:sz w:val="28"/>
          <w:szCs w:val="28"/>
          <w:highlight w:val="none"/>
        </w:rPr>
        <w:t>供应商（乙方）：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90" w:firstLineChars="175"/>
        <w:textAlignment w:val="auto"/>
        <w:rPr>
          <w:rFonts w:hint="eastAsia"/>
          <w:color w:val="auto"/>
          <w:sz w:val="28"/>
          <w:szCs w:val="28"/>
          <w:highlight w:val="none"/>
        </w:rPr>
      </w:pPr>
      <w:r>
        <w:rPr>
          <w:rFonts w:hint="eastAsia"/>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90" w:firstLineChars="17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根据《中华人民共和国</w:t>
      </w:r>
      <w:r>
        <w:rPr>
          <w:rFonts w:hint="eastAsia" w:ascii="仿宋_GB2312" w:hAnsi="仿宋_GB2312" w:eastAsia="仿宋_GB2312" w:cs="仿宋_GB2312"/>
          <w:sz w:val="28"/>
          <w:szCs w:val="28"/>
          <w:highlight w:val="none"/>
          <w:lang w:eastAsia="zh-CN"/>
        </w:rPr>
        <w:t>民法典</w:t>
      </w:r>
      <w:r>
        <w:rPr>
          <w:rFonts w:hint="eastAsia" w:ascii="仿宋_GB2312" w:hAnsi="仿宋_GB2312" w:eastAsia="仿宋_GB2312" w:cs="仿宋_GB2312"/>
          <w:sz w:val="28"/>
          <w:szCs w:val="28"/>
          <w:highlight w:val="none"/>
        </w:rPr>
        <w:t>》及</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电动三轮摩托车</w:t>
      </w:r>
      <w:r>
        <w:rPr>
          <w:rFonts w:hint="eastAsia" w:ascii="仿宋_GB2312" w:hAnsi="仿宋_GB2312" w:eastAsia="仿宋_GB2312" w:cs="仿宋_GB2312"/>
          <w:sz w:val="28"/>
          <w:szCs w:val="28"/>
          <w:highlight w:val="none"/>
        </w:rPr>
        <w:t>采购项目</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（项目编号：</w:t>
      </w:r>
      <w:r>
        <w:rPr>
          <w:rFonts w:hint="eastAsia" w:ascii="仿宋_GB2312" w:hAnsi="仿宋_GB2312" w:eastAsia="仿宋_GB2312" w:cs="仿宋_GB2312"/>
          <w:sz w:val="28"/>
          <w:szCs w:val="28"/>
          <w:highlight w:val="none"/>
          <w:lang w:val="en-US" w:eastAsia="zh-CN"/>
        </w:rPr>
        <w:t>XYCG【2025】   号</w:t>
      </w:r>
      <w:r>
        <w:rPr>
          <w:rFonts w:hint="eastAsia" w:ascii="仿宋_GB2312" w:hAnsi="仿宋_GB2312" w:eastAsia="仿宋_GB2312" w:cs="仿宋_GB2312"/>
          <w:sz w:val="28"/>
          <w:szCs w:val="28"/>
          <w:highlight w:val="none"/>
        </w:rPr>
        <w:t>）的询价文件、乙方的响应文件及《成交通知书》，甲、乙双方同意签订本合同。本项目的询价文件、响应文件、《成交通知书》等均为本合同不可分割的部分。双方同意共同遵守如下条款：</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供货内容、价格及数量</w:t>
      </w:r>
    </w:p>
    <w:tbl>
      <w:tblPr>
        <w:tblStyle w:val="16"/>
        <w:tblW w:w="4997" w:type="pct"/>
        <w:tblInd w:w="0" w:type="dxa"/>
        <w:tblLayout w:type="autofit"/>
        <w:tblCellMar>
          <w:top w:w="0" w:type="dxa"/>
          <w:left w:w="108" w:type="dxa"/>
          <w:bottom w:w="0" w:type="dxa"/>
          <w:right w:w="108" w:type="dxa"/>
        </w:tblCellMar>
      </w:tblPr>
      <w:tblGrid>
        <w:gridCol w:w="656"/>
        <w:gridCol w:w="1756"/>
        <w:gridCol w:w="1465"/>
        <w:gridCol w:w="1316"/>
        <w:gridCol w:w="1332"/>
        <w:gridCol w:w="1334"/>
        <w:gridCol w:w="658"/>
      </w:tblGrid>
      <w:tr>
        <w:tblPrEx>
          <w:tblCellMar>
            <w:top w:w="0" w:type="dxa"/>
            <w:left w:w="108" w:type="dxa"/>
            <w:bottom w:w="0" w:type="dxa"/>
            <w:right w:w="108" w:type="dxa"/>
          </w:tblCellMar>
        </w:tblPrEx>
        <w:trPr>
          <w:trHeight w:val="503" w:hRule="atLeast"/>
        </w:trPr>
        <w:tc>
          <w:tcPr>
            <w:tcW w:w="3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序号</w:t>
            </w:r>
          </w:p>
        </w:tc>
        <w:tc>
          <w:tcPr>
            <w:tcW w:w="8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车型</w:t>
            </w:r>
          </w:p>
        </w:tc>
        <w:tc>
          <w:tcPr>
            <w:tcW w:w="90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型号</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数量（台）</w:t>
            </w:r>
          </w:p>
        </w:tc>
        <w:tc>
          <w:tcPr>
            <w:tcW w:w="8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单价（元）</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总价（元）</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trHeight w:val="565" w:hRule="atLeast"/>
        </w:trPr>
        <w:tc>
          <w:tcPr>
            <w:tcW w:w="3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8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电动三轮摩托车</w:t>
            </w:r>
          </w:p>
        </w:tc>
        <w:tc>
          <w:tcPr>
            <w:tcW w:w="90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 xml:space="preserve"> </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 xml:space="preserve"> </w:t>
            </w:r>
          </w:p>
        </w:tc>
        <w:tc>
          <w:tcPr>
            <w:tcW w:w="82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 xml:space="preserve">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 xml:space="preserve"> </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w:t>
            </w:r>
          </w:p>
        </w:tc>
      </w:tr>
      <w:tr>
        <w:tblPrEx>
          <w:tblCellMar>
            <w:top w:w="0" w:type="dxa"/>
            <w:left w:w="108" w:type="dxa"/>
            <w:bottom w:w="0" w:type="dxa"/>
            <w:right w:w="108" w:type="dxa"/>
          </w:tblCellMar>
        </w:tblPrEx>
        <w:trPr>
          <w:trHeight w:val="533" w:hRule="atLeast"/>
        </w:trPr>
        <w:tc>
          <w:tcPr>
            <w:tcW w:w="3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w:t>
            </w:r>
          </w:p>
        </w:tc>
        <w:tc>
          <w:tcPr>
            <w:tcW w:w="4615" w:type="pct"/>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合计：  元，含税   %</w:t>
            </w:r>
          </w:p>
        </w:tc>
      </w:tr>
    </w:tbl>
    <w:p>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合同金额：</w:t>
      </w:r>
      <w:r>
        <w:rPr>
          <w:rFonts w:hint="eastAsia" w:ascii="仿宋_GB2312" w:hAnsi="仿宋_GB2312" w:eastAsia="仿宋_GB2312" w:cs="仿宋_GB2312"/>
          <w:sz w:val="28"/>
          <w:szCs w:val="28"/>
          <w:highlight w:val="none"/>
          <w:lang w:eastAsia="zh-CN"/>
        </w:rPr>
        <w:t>暂定</w:t>
      </w:r>
      <w:r>
        <w:rPr>
          <w:rFonts w:hint="eastAsia" w:ascii="仿宋_GB2312" w:hAnsi="仿宋_GB2312" w:eastAsia="仿宋_GB2312" w:cs="仿宋_GB2312"/>
          <w:sz w:val="28"/>
          <w:szCs w:val="28"/>
          <w:highlight w:val="none"/>
        </w:rPr>
        <w:t>人民币</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元（含税</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w:t>
      </w:r>
      <w:r>
        <w:rPr>
          <w:rFonts w:hint="eastAsia" w:ascii="仿宋_GB2312" w:hAnsi="仿宋_GB2312" w:eastAsia="仿宋_GB2312" w:cs="仿宋_GB2312"/>
          <w:sz w:val="28"/>
          <w:szCs w:val="28"/>
          <w:highlight w:val="none"/>
        </w:rPr>
        <w:t>(大写：</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所有报价均用人民币表示，所报</w:t>
      </w:r>
      <w:r>
        <w:rPr>
          <w:rFonts w:hint="eastAsia" w:ascii="仿宋_GB2312" w:hAnsi="仿宋_GB2312" w:eastAsia="仿宋_GB2312" w:cs="仿宋_GB2312"/>
          <w:sz w:val="28"/>
          <w:szCs w:val="28"/>
          <w:highlight w:val="none"/>
          <w:u w:val="none"/>
        </w:rPr>
        <w:t>单价</w:t>
      </w:r>
      <w:r>
        <w:rPr>
          <w:rFonts w:hint="eastAsia" w:ascii="仿宋_GB2312" w:hAnsi="仿宋_GB2312" w:eastAsia="仿宋_GB2312" w:cs="仿宋_GB2312"/>
          <w:sz w:val="28"/>
          <w:szCs w:val="28"/>
          <w:highlight w:val="none"/>
        </w:rPr>
        <w:t>是包干价即包括但不限于材料费、人工费、运输费、搬运费、下车费、管理费、利润、</w:t>
      </w:r>
      <w:r>
        <w:rPr>
          <w:rFonts w:hint="eastAsia" w:ascii="仿宋_GB2312" w:hAnsi="仿宋_GB2312" w:eastAsia="仿宋_GB2312" w:cs="仿宋_GB2312"/>
          <w:sz w:val="28"/>
          <w:szCs w:val="28"/>
          <w:highlight w:val="none"/>
          <w:lang w:val="en-US" w:eastAsia="zh-CN"/>
        </w:rPr>
        <w:t>配送费、</w:t>
      </w:r>
      <w:r>
        <w:rPr>
          <w:rFonts w:hint="eastAsia" w:ascii="仿宋_GB2312" w:hAnsi="仿宋_GB2312" w:eastAsia="仿宋_GB2312" w:cs="仿宋_GB2312"/>
          <w:sz w:val="28"/>
          <w:szCs w:val="28"/>
          <w:highlight w:val="none"/>
        </w:rPr>
        <w:t>税金（</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一年保险费用和上牌费用</w:t>
      </w:r>
      <w:r>
        <w:rPr>
          <w:rFonts w:hint="eastAsia" w:ascii="仿宋_GB2312" w:hAnsi="仿宋_GB2312" w:eastAsia="仿宋_GB2312" w:cs="仿宋_GB2312"/>
          <w:sz w:val="28"/>
          <w:szCs w:val="28"/>
          <w:highlight w:val="none"/>
        </w:rPr>
        <w:t>等完成本项目所需的一切费用。</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3.合同形式是</w:t>
      </w:r>
      <w:r>
        <w:rPr>
          <w:rFonts w:hint="eastAsia" w:ascii="仿宋_GB2312" w:hAnsi="仿宋_GB2312" w:eastAsia="仿宋_GB2312" w:cs="仿宋_GB2312"/>
          <w:sz w:val="28"/>
          <w:szCs w:val="28"/>
          <w:highlight w:val="none"/>
          <w:u w:val="single"/>
          <w:lang w:val="en-US" w:eastAsia="zh-CN"/>
        </w:rPr>
        <w:t>单价</w:t>
      </w:r>
      <w:r>
        <w:rPr>
          <w:rFonts w:hint="eastAsia" w:ascii="仿宋_GB2312" w:hAnsi="仿宋_GB2312" w:eastAsia="仿宋_GB2312" w:cs="仿宋_GB2312"/>
          <w:sz w:val="28"/>
          <w:szCs w:val="28"/>
          <w:highlight w:val="none"/>
          <w:lang w:val="en-US" w:eastAsia="zh-CN"/>
        </w:rPr>
        <w:t>合同，采购数量按照实际交付的数量结算</w:t>
      </w:r>
      <w:r>
        <w:rPr>
          <w:rFonts w:hint="eastAsia" w:ascii="仿宋_GB2312" w:hAnsi="仿宋_GB2312" w:eastAsia="仿宋_GB2312" w:cs="仿宋_GB2312"/>
          <w:sz w:val="28"/>
          <w:szCs w:val="28"/>
          <w:highlight w:val="none"/>
        </w:rPr>
        <w:t>。</w:t>
      </w:r>
    </w:p>
    <w:p>
      <w:pPr>
        <w:keepNext w:val="0"/>
        <w:keepLines w:val="0"/>
        <w:pageBreakBefore w:val="0"/>
        <w:widowControl w:val="0"/>
        <w:kinsoku/>
        <w:wordWrap/>
        <w:overflowPunct/>
        <w:topLinePunct w:val="0"/>
        <w:bidi w:val="0"/>
        <w:spacing w:line="400" w:lineRule="exact"/>
        <w:textAlignment w:val="auto"/>
        <w:rPr>
          <w:rFonts w:hint="eastAsia" w:ascii="仿宋_GB2312" w:hAnsi="仿宋_GB2312" w:eastAsia="仿宋_GB2312" w:cs="仿宋_GB2312"/>
          <w:b/>
          <w:bCs w:val="0"/>
          <w:sz w:val="28"/>
          <w:szCs w:val="28"/>
          <w:highlight w:val="none"/>
        </w:rPr>
      </w:pPr>
      <w:r>
        <w:rPr>
          <w:rFonts w:hint="eastAsia" w:ascii="仿宋_GB2312" w:hAnsi="仿宋_GB2312" w:eastAsia="仿宋_GB2312" w:cs="仿宋_GB2312"/>
          <w:b/>
          <w:bCs w:val="0"/>
          <w:sz w:val="28"/>
          <w:szCs w:val="28"/>
          <w:highlight w:val="none"/>
        </w:rPr>
        <w:t>二、交货时间、地点</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1.交货时间：合同签订后15个日历日内。</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2.交货地点：甲方指定地点-泸州市江阳区范围内。</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3.交付方式：免费送货上门，如需安装调试的，应安装、调试到能正常使用。</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4.货物的损毁灭失风险自乙方将货物运送至甲方指定地点验收完毕并合格后转移给甲方.</w:t>
      </w:r>
    </w:p>
    <w:p>
      <w:pPr>
        <w:keepNext w:val="0"/>
        <w:keepLines w:val="0"/>
        <w:pageBreakBefore w:val="0"/>
        <w:widowControl w:val="0"/>
        <w:kinsoku/>
        <w:wordWrap/>
        <w:overflowPunct/>
        <w:topLinePunct w:val="0"/>
        <w:bidi w:val="0"/>
        <w:spacing w:line="400" w:lineRule="exact"/>
        <w:textAlignment w:val="auto"/>
        <w:rPr>
          <w:rFonts w:hint="eastAsia" w:ascii="仿宋_GB2312" w:hAnsi="仿宋_GB2312" w:eastAsia="仿宋_GB2312" w:cs="仿宋_GB2312"/>
          <w:b/>
          <w:bCs w:val="0"/>
          <w:sz w:val="28"/>
          <w:szCs w:val="28"/>
          <w:highlight w:val="none"/>
        </w:rPr>
      </w:pPr>
      <w:r>
        <w:rPr>
          <w:rFonts w:hint="eastAsia" w:ascii="仿宋_GB2312" w:hAnsi="仿宋_GB2312" w:eastAsia="仿宋_GB2312" w:cs="仿宋_GB2312"/>
          <w:b/>
          <w:bCs w:val="0"/>
          <w:sz w:val="28"/>
          <w:szCs w:val="28"/>
          <w:highlight w:val="none"/>
        </w:rPr>
        <w:t>三、质量技术指标及质量验收标准</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.交货时需提供产品合格证明文件、检验报告且必须符合国家标准（无国标的按行业标准、企业标准、以此类推），如乙方提供假冒伪劣产品，甲方有权要求停止供货或拒收，并向相关部门进行举报。</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2.乙方提供产品的参数不低于甲方要求参数。</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3.交货过程中如发现损坏等质量不合格情况，乙方应免费无条件、快速的予以更换；否则，甲方有权拒绝收货。</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4.乙方经营产品如出现严重质量问题，暂停乙方供货，并追究相关法律责任。</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5.乙方应保证所提供的商品不侵犯第三方的专利权、商标权、著作权或其他知识产权。若乙方的行为侵犯了第三方的前述权利，并造成了第三方追究甲方的责任，甲方为此所受到的损失，应由乙方承担。</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6.因产品的质量问题发生争议，由泸州市江阳区相关部门进行质量鉴定，物品符合质量标准的，鉴定费由甲方承担；物品不符合质量标准的，鉴定费由乙方承担。</w:t>
      </w:r>
    </w:p>
    <w:p>
      <w:pPr>
        <w:pStyle w:val="10"/>
        <w:ind w:firstLine="560" w:firstLineChars="200"/>
        <w:rPr>
          <w:rFonts w:hint="default" w:eastAsia="仿宋_GB2312"/>
          <w:lang w:val="en-US" w:eastAsia="zh-CN"/>
        </w:rPr>
      </w:pPr>
      <w:r>
        <w:rPr>
          <w:rFonts w:hint="eastAsia" w:ascii="仿宋_GB2312" w:hAnsi="仿宋_GB2312" w:eastAsia="仿宋_GB2312" w:cs="仿宋_GB2312"/>
          <w:sz w:val="28"/>
          <w:szCs w:val="28"/>
          <w:highlight w:val="none"/>
          <w:lang w:val="en-US" w:eastAsia="zh-CN"/>
        </w:rPr>
        <w:t>7.电动三轮摩托车上牌完成视为验收合格。</w:t>
      </w:r>
    </w:p>
    <w:p>
      <w:pPr>
        <w:keepNext w:val="0"/>
        <w:keepLines w:val="0"/>
        <w:pageBreakBefore w:val="0"/>
        <w:widowControl w:val="0"/>
        <w:kinsoku/>
        <w:wordWrap/>
        <w:overflowPunct/>
        <w:topLinePunct w:val="0"/>
        <w:bidi w:val="0"/>
        <w:spacing w:line="400" w:lineRule="exact"/>
        <w:textAlignment w:val="auto"/>
        <w:rPr>
          <w:rFonts w:hint="eastAsia" w:ascii="仿宋_GB2312" w:hAnsi="仿宋_GB2312" w:eastAsia="仿宋_GB2312" w:cs="仿宋_GB2312"/>
          <w:b/>
          <w:bCs w:val="0"/>
          <w:sz w:val="28"/>
          <w:szCs w:val="28"/>
          <w:highlight w:val="none"/>
        </w:rPr>
      </w:pPr>
      <w:r>
        <w:rPr>
          <w:rFonts w:hint="eastAsia" w:ascii="仿宋_GB2312" w:hAnsi="仿宋_GB2312" w:eastAsia="仿宋_GB2312" w:cs="仿宋_GB2312"/>
          <w:b/>
          <w:bCs w:val="0"/>
          <w:sz w:val="28"/>
          <w:szCs w:val="28"/>
          <w:highlight w:val="none"/>
        </w:rPr>
        <w:t>四、付款方式及期限</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1.付款方式：银行转账，乙方转款信息如下</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账户名称： </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开户银行： </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default"/>
          <w:lang w:val="en-US" w:eastAsia="zh-CN"/>
        </w:rPr>
      </w:pPr>
      <w:r>
        <w:rPr>
          <w:rFonts w:hint="eastAsia" w:ascii="仿宋_GB2312" w:hAnsi="仿宋_GB2312" w:eastAsia="仿宋_GB2312" w:cs="仿宋_GB2312"/>
          <w:sz w:val="28"/>
          <w:szCs w:val="28"/>
          <w:highlight w:val="none"/>
          <w:lang w:val="en-US" w:eastAsia="zh-CN"/>
        </w:rPr>
        <w:t xml:space="preserve">转款账户： </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2.验收合格后，乙方向甲方开具等额增值税专用发票，甲方支付至结算金额97%，剩余3%为质保金，待质保期满1年后无质量问题或质量问题已解决的，乙方向甲方提出支付申请，由甲方无息支付。</w:t>
      </w:r>
    </w:p>
    <w:p>
      <w:pPr>
        <w:keepNext w:val="0"/>
        <w:keepLines w:val="0"/>
        <w:pageBreakBefore w:val="0"/>
        <w:widowControl w:val="0"/>
        <w:kinsoku/>
        <w:wordWrap/>
        <w:overflowPunct/>
        <w:topLinePunct w:val="0"/>
        <w:bidi w:val="0"/>
        <w:spacing w:line="400" w:lineRule="exac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五、质保期</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电池质保一年，其余部件质保1年，质保期自验收合格之日起计算。</w:t>
      </w:r>
    </w:p>
    <w:p>
      <w:pPr>
        <w:keepNext w:val="0"/>
        <w:keepLines w:val="0"/>
        <w:pageBreakBefore w:val="0"/>
        <w:widowControl w:val="0"/>
        <w:kinsoku/>
        <w:wordWrap/>
        <w:overflowPunct/>
        <w:topLinePunct w:val="0"/>
        <w:bidi w:val="0"/>
        <w:spacing w:line="400" w:lineRule="exac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eastAsia="zh-CN"/>
        </w:rPr>
        <w:t>六</w:t>
      </w:r>
      <w:r>
        <w:rPr>
          <w:rFonts w:hint="eastAsia" w:ascii="仿宋_GB2312" w:hAnsi="仿宋_GB2312" w:eastAsia="仿宋_GB2312" w:cs="仿宋_GB2312"/>
          <w:b/>
          <w:sz w:val="28"/>
          <w:szCs w:val="28"/>
          <w:highlight w:val="none"/>
        </w:rPr>
        <w:t>、相关权利及义务</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1.甲方在验收时对不符合质量要求的产品有权拒绝接收和追究</w:t>
      </w:r>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rPr>
        <w:t>违约责任。</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2.产品验收合格无质量问题，甲方在合同规定期限内履行付款义务。</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3.乙方有权按照合同要求申请及时支付相应合同款项。</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4.乙方有义务按售后服务承诺提供良好的服务，并指派专人负责与甲方联系供货及售后服务事宜。</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5.乙方需提供电动三轮车强制性产品认证车辆一致性证书并保证提供产品与认证书一致，同时能在国家工信部查询相关信息并保证查询信息与供应商供货产品一致。</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lang w:val="en-US" w:eastAsia="zh-CN"/>
        </w:rPr>
      </w:pPr>
      <w:r>
        <w:rPr>
          <w:rFonts w:hint="eastAsia" w:ascii="仿宋_GB2312" w:hAnsi="仿宋_GB2312" w:eastAsia="仿宋_GB2312" w:cs="仿宋_GB2312"/>
          <w:sz w:val="28"/>
          <w:szCs w:val="28"/>
          <w:highlight w:val="none"/>
          <w:lang w:val="en-US" w:eastAsia="zh-CN"/>
        </w:rPr>
        <w:t>6.乙方承诺所提供的电动三轮摩托车满足上牌要求。</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7.车辆需根据甲方要求在车身左右两侧喷绘字样，字样内容由甲方指定。</w:t>
      </w:r>
    </w:p>
    <w:p>
      <w:pPr>
        <w:pStyle w:val="3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outlineLvl w:val="9"/>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七、履约验收</w:t>
      </w:r>
    </w:p>
    <w:p>
      <w:pPr>
        <w:pStyle w:val="30"/>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验收标准：按国家有关规定质量要求和技术指标进行验收；甲乙双方如对质量要求和技术指标的约定标准有相互抵触或异议的事项，由甲方按质量要求和技术指标比较优胜的原则确定该项的约定标准进行验收；</w:t>
      </w:r>
    </w:p>
    <w:p>
      <w:pPr>
        <w:pStyle w:val="30"/>
        <w:keepNext w:val="0"/>
        <w:keepLines w:val="0"/>
        <w:pageBreakBefore w:val="0"/>
        <w:widowControl w:val="0"/>
        <w:kinsoku/>
        <w:wordWrap/>
        <w:overflowPunct/>
        <w:topLinePunct w:val="0"/>
        <w:autoSpaceDE/>
        <w:autoSpaceDN/>
        <w:bidi w:val="0"/>
        <w:adjustRightInd/>
        <w:snapToGrid/>
        <w:spacing w:line="400" w:lineRule="exact"/>
        <w:ind w:firstLine="48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9"/>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eastAsia="zh-CN"/>
        </w:rPr>
        <w:t>八</w:t>
      </w:r>
      <w:r>
        <w:rPr>
          <w:rFonts w:hint="eastAsia" w:ascii="仿宋_GB2312" w:hAnsi="仿宋_GB2312" w:eastAsia="仿宋_GB2312" w:cs="仿宋_GB2312"/>
          <w:b/>
          <w:sz w:val="28"/>
          <w:szCs w:val="28"/>
          <w:highlight w:val="none"/>
        </w:rPr>
        <w:t>、违约责任</w:t>
      </w:r>
    </w:p>
    <w:p>
      <w:pPr>
        <w:pStyle w:val="9"/>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1"/>
        <w:rPr>
          <w:rFonts w:hint="eastAsia" w:ascii="仿宋_GB2312" w:hAnsi="仿宋_GB2312" w:eastAsia="仿宋_GB2312" w:cs="仿宋_GB2312"/>
          <w:b w:val="0"/>
          <w:bCs/>
          <w:sz w:val="28"/>
          <w:szCs w:val="28"/>
          <w:highlight w:val="none"/>
          <w:lang w:val="en-US" w:eastAsia="zh-CN"/>
        </w:rPr>
      </w:pPr>
      <w:bookmarkStart w:id="90" w:name="_Toc4757"/>
      <w:r>
        <w:rPr>
          <w:rFonts w:hint="eastAsia" w:ascii="仿宋_GB2312" w:hAnsi="仿宋_GB2312" w:eastAsia="仿宋_GB2312" w:cs="仿宋_GB2312"/>
          <w:b w:val="0"/>
          <w:bCs/>
          <w:sz w:val="28"/>
          <w:szCs w:val="28"/>
          <w:highlight w:val="none"/>
          <w:lang w:val="en-US" w:eastAsia="zh-CN"/>
        </w:rPr>
        <w:t>若任意一方违反合同约定其他义务，应按合同金额的10%向相对方支付违约责任，违约方支付违约金后应继续履行合同。上述违约金不足以弥补相对方损失的，违约方应补足。</w:t>
      </w:r>
      <w:bookmarkEnd w:id="90"/>
    </w:p>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
          <w:bCs/>
          <w:color w:val="000000"/>
          <w:sz w:val="28"/>
          <w:szCs w:val="28"/>
          <w:highlight w:val="none"/>
          <w:lang w:eastAsia="zh-CN"/>
        </w:rPr>
      </w:pPr>
      <w:r>
        <w:rPr>
          <w:rFonts w:hint="eastAsia" w:ascii="仿宋_GB2312" w:hAnsi="仿宋_GB2312" w:eastAsia="仿宋_GB2312" w:cs="仿宋_GB2312"/>
          <w:b/>
          <w:bCs/>
          <w:color w:val="000000"/>
          <w:sz w:val="28"/>
          <w:szCs w:val="28"/>
          <w:highlight w:val="none"/>
          <w:lang w:eastAsia="zh-CN"/>
        </w:rPr>
        <w:t>九、履约保证金</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1.合同签订前乙方向甲方缴纳履约保证金</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元（大写：  ）。</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2.在合同执行过程中如发生扣除履约保证金的情况，扣除后乙方必须在下月补充缴纳足额的履约保证金，合同方能继续有效，否则甲方将终止合同。</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3.本合同终止后，乙方提交履约保证金退还申请后30个工作日内，甲方将履约保证金全额无息汇入乙方。</w:t>
      </w:r>
    </w:p>
    <w:p>
      <w:pPr>
        <w:pStyle w:val="9"/>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eastAsia="zh-CN"/>
        </w:rPr>
        <w:t>十</w:t>
      </w:r>
      <w:r>
        <w:rPr>
          <w:rFonts w:hint="eastAsia" w:ascii="仿宋_GB2312" w:hAnsi="仿宋_GB2312" w:eastAsia="仿宋_GB2312" w:cs="仿宋_GB2312"/>
          <w:b/>
          <w:sz w:val="28"/>
          <w:szCs w:val="28"/>
          <w:highlight w:val="none"/>
        </w:rPr>
        <w:t>、不可抗力</w:t>
      </w:r>
    </w:p>
    <w:p>
      <w:pPr>
        <w:pStyle w:val="9"/>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由于不可抗力的原因不能履行合同时，</w:t>
      </w:r>
      <w:r>
        <w:rPr>
          <w:rFonts w:hint="eastAsia" w:ascii="仿宋_GB2312" w:hAnsi="仿宋_GB2312" w:eastAsia="仿宋_GB2312" w:cs="仿宋_GB2312"/>
          <w:sz w:val="28"/>
          <w:szCs w:val="28"/>
          <w:highlight w:val="none"/>
          <w:lang w:eastAsia="zh-CN"/>
        </w:rPr>
        <w:t>双方互不负违约责任。因不可抗力不能履行一方</w:t>
      </w:r>
      <w:r>
        <w:rPr>
          <w:rFonts w:hint="eastAsia" w:ascii="仿宋_GB2312" w:hAnsi="仿宋_GB2312" w:eastAsia="仿宋_GB2312" w:cs="仿宋_GB2312"/>
          <w:sz w:val="28"/>
          <w:szCs w:val="28"/>
          <w:highlight w:val="none"/>
        </w:rPr>
        <w:t>应及时向</w:t>
      </w:r>
      <w:r>
        <w:rPr>
          <w:rFonts w:hint="eastAsia" w:ascii="仿宋_GB2312" w:hAnsi="仿宋_GB2312" w:eastAsia="仿宋_GB2312" w:cs="仿宋_GB2312"/>
          <w:sz w:val="28"/>
          <w:szCs w:val="28"/>
          <w:highlight w:val="none"/>
          <w:lang w:eastAsia="zh-CN"/>
        </w:rPr>
        <w:t>相对方</w:t>
      </w:r>
      <w:r>
        <w:rPr>
          <w:rFonts w:hint="eastAsia" w:ascii="仿宋_GB2312" w:hAnsi="仿宋_GB2312" w:eastAsia="仿宋_GB2312" w:cs="仿宋_GB2312"/>
          <w:sz w:val="28"/>
          <w:szCs w:val="28"/>
          <w:highlight w:val="none"/>
        </w:rPr>
        <w:t>通报不能履行或不能完全履行的理由</w:t>
      </w:r>
      <w:r>
        <w:rPr>
          <w:rFonts w:hint="eastAsia" w:ascii="仿宋_GB2312" w:hAnsi="仿宋_GB2312" w:eastAsia="仿宋_GB2312" w:cs="仿宋_GB2312"/>
          <w:sz w:val="28"/>
          <w:szCs w:val="28"/>
          <w:highlight w:val="none"/>
          <w:lang w:eastAsia="zh-CN"/>
        </w:rPr>
        <w:t>，并向另一方提交经当地公证处公证的不可抗力事件文书。</w:t>
      </w:r>
    </w:p>
    <w:p>
      <w:pPr>
        <w:pStyle w:val="9"/>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廉洁协议</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ascii="仿宋_GB2312" w:hAnsi="仿宋_GB2312" w:eastAsia="仿宋_GB2312" w:cs="仿宋_GB2312"/>
          <w:sz w:val="28"/>
          <w:szCs w:val="28"/>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乙方及其工作人员如有违反本条款的，按合同总金额的10%向甲方支付违约金，甲方有权解除与乙方的所有业务合同，由此所造成的一切经济损失均由乙方承担，同时甲方有权将乙方列入兴阳集团不诚信供应商库，并永久排除在甲方业务范围之外。</w:t>
      </w:r>
    </w:p>
    <w:p>
      <w:pPr>
        <w:pStyle w:val="9"/>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
          <w:sz w:val="28"/>
          <w:szCs w:val="28"/>
          <w:highlight w:val="none"/>
          <w:lang w:eastAsia="zh-CN"/>
        </w:rPr>
      </w:pPr>
      <w:r>
        <w:rPr>
          <w:rFonts w:hint="eastAsia" w:ascii="仿宋_GB2312" w:hAnsi="仿宋_GB2312" w:eastAsia="仿宋_GB2312" w:cs="仿宋_GB2312"/>
          <w:b/>
          <w:sz w:val="28"/>
          <w:szCs w:val="28"/>
          <w:highlight w:val="none"/>
          <w:lang w:eastAsia="zh-CN"/>
        </w:rPr>
        <w:t>十</w:t>
      </w:r>
      <w:r>
        <w:rPr>
          <w:rFonts w:hint="eastAsia" w:ascii="仿宋_GB2312" w:hAnsi="仿宋_GB2312" w:eastAsia="仿宋_GB2312" w:cs="仿宋_GB2312"/>
          <w:b/>
          <w:sz w:val="28"/>
          <w:szCs w:val="28"/>
          <w:highlight w:val="none"/>
          <w:lang w:val="en-US" w:eastAsia="zh-CN"/>
        </w:rPr>
        <w:t>二</w:t>
      </w:r>
      <w:r>
        <w:rPr>
          <w:rFonts w:hint="eastAsia" w:ascii="仿宋_GB2312" w:hAnsi="仿宋_GB2312" w:eastAsia="仿宋_GB2312" w:cs="仿宋_GB2312"/>
          <w:b/>
          <w:sz w:val="28"/>
          <w:szCs w:val="28"/>
          <w:highlight w:val="none"/>
        </w:rPr>
        <w:t>、争议</w:t>
      </w:r>
      <w:r>
        <w:rPr>
          <w:rFonts w:hint="eastAsia" w:ascii="仿宋_GB2312" w:hAnsi="仿宋_GB2312" w:eastAsia="仿宋_GB2312" w:cs="仿宋_GB2312"/>
          <w:b/>
          <w:sz w:val="28"/>
          <w:szCs w:val="28"/>
          <w:highlight w:val="none"/>
          <w:lang w:eastAsia="zh-CN"/>
        </w:rPr>
        <w:t>解决</w:t>
      </w:r>
    </w:p>
    <w:p>
      <w:pPr>
        <w:pStyle w:val="30"/>
        <w:keepNext w:val="0"/>
        <w:keepLines w:val="0"/>
        <w:pageBreakBefore w:val="0"/>
        <w:widowControl w:val="0"/>
        <w:kinsoku/>
        <w:wordWrap/>
        <w:overflowPunct/>
        <w:topLinePunct w:val="0"/>
        <w:autoSpaceDE/>
        <w:autoSpaceDN/>
        <w:bidi w:val="0"/>
        <w:adjustRightInd/>
        <w:snapToGrid/>
        <w:spacing w:line="400" w:lineRule="exact"/>
        <w:ind w:firstLine="48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因货物的质量问题发生争议，由具有法定资格条件的质量技术监督机构进行质量鉴定。货物符合标准的，鉴定费由甲方承担；货物不符合质量标准的，鉴定费由乙方承担。</w:t>
      </w:r>
    </w:p>
    <w:p>
      <w:pPr>
        <w:pStyle w:val="9"/>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合同履行期间,若双方发生争议，双方本着友好合作的态度，对合同履行过程中发生的违约行为进行及时的协商解决，如不能协商解决</w:t>
      </w:r>
      <w:r>
        <w:rPr>
          <w:rFonts w:hint="eastAsia" w:ascii="仿宋_GB2312" w:hAnsi="仿宋_GB2312" w:eastAsia="仿宋_GB2312" w:cs="仿宋_GB2312"/>
          <w:sz w:val="28"/>
          <w:szCs w:val="28"/>
          <w:highlight w:val="none"/>
          <w:lang w:eastAsia="zh-CN"/>
        </w:rPr>
        <w:t>可采取</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1</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val="en-US" w:eastAsia="zh-CN"/>
        </w:rPr>
        <w:t>方式解决。</w:t>
      </w:r>
    </w:p>
    <w:p>
      <w:pPr>
        <w:pStyle w:val="9"/>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）向</w:t>
      </w:r>
      <w:r>
        <w:rPr>
          <w:rFonts w:hint="eastAsia" w:ascii="仿宋_GB2312" w:hAnsi="仿宋_GB2312" w:eastAsia="仿宋_GB2312" w:cs="仿宋_GB2312"/>
          <w:sz w:val="28"/>
          <w:szCs w:val="28"/>
          <w:highlight w:val="none"/>
        </w:rPr>
        <w:t>甲方所在地法院通过诉讼解决。</w:t>
      </w:r>
    </w:p>
    <w:p>
      <w:pPr>
        <w:pStyle w:val="9"/>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（2）向泸州仲裁委提请仲裁解决。</w:t>
      </w:r>
    </w:p>
    <w:p>
      <w:pPr>
        <w:pStyle w:val="9"/>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b w:val="0"/>
          <w:i w:val="0"/>
          <w:caps w:val="0"/>
          <w:color w:val="auto"/>
          <w:spacing w:val="0"/>
          <w:sz w:val="28"/>
          <w:szCs w:val="28"/>
          <w:highlight w:val="none"/>
          <w:lang w:eastAsia="zh-CN"/>
        </w:rPr>
        <w:t>因一方违约，相对方通过司法途径实现债权而产生的诉讼有关费用，包括但不限于鉴定费、律师费、诉讼费、公告费等费用均由违约方承担。</w:t>
      </w:r>
    </w:p>
    <w:p>
      <w:pPr>
        <w:pStyle w:val="9"/>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十</w:t>
      </w:r>
      <w:r>
        <w:rPr>
          <w:rFonts w:hint="eastAsia" w:ascii="仿宋_GB2312" w:hAnsi="仿宋_GB2312" w:eastAsia="仿宋_GB2312" w:cs="仿宋_GB2312"/>
          <w:b/>
          <w:sz w:val="28"/>
          <w:szCs w:val="28"/>
          <w:highlight w:val="none"/>
          <w:lang w:val="en-US" w:eastAsia="zh-CN"/>
        </w:rPr>
        <w:t>三</w:t>
      </w:r>
      <w:r>
        <w:rPr>
          <w:rFonts w:hint="eastAsia" w:ascii="仿宋_GB2312" w:hAnsi="仿宋_GB2312" w:eastAsia="仿宋_GB2312" w:cs="仿宋_GB2312"/>
          <w:b/>
          <w:sz w:val="28"/>
          <w:szCs w:val="28"/>
          <w:highlight w:val="none"/>
        </w:rPr>
        <w:t>、合同标的减少与追加处理</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1.如因在合同履行过程中有变更，存在减少有关产品数量情况，经甲</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乙双方书面确认同意后，按乙方中标时的固定单价对总价进行调减。</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2.如因在合同履行过程中，需追加与本合同标的相同的货物或者服务的，在不改变合同条款的前提下，经甲乙双方书面确认，按乙方中标时的固定单价对总价进行调增</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并签订补充协议</w:t>
      </w:r>
      <w:r>
        <w:rPr>
          <w:rFonts w:hint="eastAsia" w:ascii="仿宋_GB2312" w:hAnsi="仿宋_GB2312" w:eastAsia="仿宋_GB2312" w:cs="仿宋_GB2312"/>
          <w:sz w:val="28"/>
          <w:szCs w:val="28"/>
          <w:highlight w:val="none"/>
        </w:rPr>
        <w:t>。</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kern w:val="2"/>
          <w:sz w:val="28"/>
          <w:szCs w:val="28"/>
          <w:highlight w:val="none"/>
          <w:lang w:val="en-US" w:eastAsia="zh-CN" w:bidi="ar-SA"/>
        </w:rPr>
        <w:t>3.追加金额不超过合同总额10%，超过的甲方应重新按程序选取合作单位。</w:t>
      </w:r>
    </w:p>
    <w:p>
      <w:pPr>
        <w:pStyle w:val="9"/>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十</w:t>
      </w:r>
      <w:r>
        <w:rPr>
          <w:rFonts w:hint="eastAsia" w:ascii="仿宋_GB2312" w:hAnsi="仿宋_GB2312" w:eastAsia="仿宋_GB2312" w:cs="仿宋_GB2312"/>
          <w:b/>
          <w:sz w:val="28"/>
          <w:szCs w:val="28"/>
          <w:highlight w:val="none"/>
          <w:lang w:val="en-US" w:eastAsia="zh-CN"/>
        </w:rPr>
        <w:t>四</w:t>
      </w:r>
      <w:r>
        <w:rPr>
          <w:rFonts w:hint="eastAsia" w:ascii="仿宋_GB2312" w:hAnsi="仿宋_GB2312" w:eastAsia="仿宋_GB2312" w:cs="仿宋_GB2312"/>
          <w:b/>
          <w:sz w:val="28"/>
          <w:szCs w:val="28"/>
          <w:highlight w:val="none"/>
        </w:rPr>
        <w:t>、通知和送达</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任何一方向对方发出的通知或其他往来文件（以下简称“往来文件”），应按照本</w:t>
      </w:r>
      <w:r>
        <w:rPr>
          <w:rFonts w:hint="eastAsia" w:ascii="仿宋_GB2312" w:hAnsi="仿宋_GB2312" w:eastAsia="仿宋_GB2312" w:cs="仿宋_GB2312"/>
          <w:sz w:val="28"/>
          <w:szCs w:val="28"/>
          <w:highlight w:val="none"/>
          <w:lang w:val="en-US" w:eastAsia="zh-CN"/>
        </w:rPr>
        <w:t>合同尾部</w:t>
      </w:r>
      <w:r>
        <w:rPr>
          <w:rFonts w:hint="eastAsia" w:ascii="仿宋_GB2312" w:hAnsi="仿宋_GB2312" w:eastAsia="仿宋_GB2312" w:cs="仿宋_GB2312"/>
          <w:sz w:val="28"/>
          <w:szCs w:val="28"/>
          <w:highlight w:val="none"/>
        </w:rPr>
        <w:t>记载的另一方的联系方式，用特快、挂号信、传真、电子邮件或专人送达方式发出，并在下述条件下送达生效：</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（1）以特快专递或挂号信方式发出的，以收件人签收日为送达日；收件人未签收的，以寄出日后的第五个工作日视为送达；</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（2）以传真或电子邮件方式发出的，以发出方收到传真或电子邮件发出确认回执时视为送达；</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（3）如对方不在的，由对方公司职工签收，若对方拒绝签收的，由两名送达工作人员签字见证，留置送达。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同时采用上述几种方式的，以其中最快到达对方的为准。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本</w:t>
      </w:r>
      <w:r>
        <w:rPr>
          <w:rFonts w:hint="eastAsia" w:ascii="仿宋_GB2312" w:hAnsi="仿宋_GB2312" w:eastAsia="仿宋_GB2312" w:cs="仿宋_GB2312"/>
          <w:sz w:val="28"/>
          <w:szCs w:val="28"/>
          <w:highlight w:val="none"/>
          <w:lang w:val="en-US" w:eastAsia="zh-CN"/>
        </w:rPr>
        <w:t>合同尾部记载</w:t>
      </w:r>
      <w:r>
        <w:rPr>
          <w:rFonts w:hint="eastAsia" w:ascii="仿宋_GB2312" w:hAnsi="仿宋_GB2312" w:eastAsia="仿宋_GB2312" w:cs="仿宋_GB2312"/>
          <w:sz w:val="28"/>
          <w:szCs w:val="28"/>
          <w:highlight w:val="none"/>
        </w:rPr>
        <w:t>的联系方式发生变更，变更方应及时书面通知另一方。另一方在收到有关变更前的联系方式所发出的往来文件视为有效。</w:t>
      </w:r>
    </w:p>
    <w:p>
      <w:pPr>
        <w:pStyle w:val="3"/>
        <w:keepNext w:val="0"/>
        <w:keepLines w:val="0"/>
        <w:pageBreakBefore w:val="0"/>
        <w:widowControl w:val="0"/>
        <w:numPr>
          <w:ilvl w:val="0"/>
          <w:numId w:val="0"/>
        </w:numPr>
        <w:kinsoku/>
        <w:wordWrap/>
        <w:overflowPunct/>
        <w:topLinePunct w:val="0"/>
        <w:bidi w:val="0"/>
        <w:spacing w:line="40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3.本合同尾部所载地址也是司法机关司法文书送达地址。</w:t>
      </w:r>
    </w:p>
    <w:p>
      <w:pPr>
        <w:pStyle w:val="22"/>
        <w:keepNext w:val="0"/>
        <w:keepLines w:val="0"/>
        <w:pageBreakBefore w:val="0"/>
        <w:kinsoku/>
        <w:wordWrap/>
        <w:overflowPunct/>
        <w:topLinePunct w:val="0"/>
        <w:bidi w:val="0"/>
        <w:spacing w:line="400" w:lineRule="exact"/>
        <w:ind w:left="0" w:leftChars="0" w:firstLine="0" w:firstLineChars="0"/>
        <w:textAlignment w:val="auto"/>
        <w:rPr>
          <w:rFonts w:hint="eastAsia" w:ascii="仿宋_GB2312" w:hAnsi="仿宋_GB2312" w:eastAsia="仿宋_GB2312" w:cs="仿宋_GB2312"/>
          <w:b/>
          <w:bCs/>
          <w:kern w:val="2"/>
          <w:sz w:val="28"/>
          <w:szCs w:val="28"/>
          <w:highlight w:val="none"/>
          <w:lang w:val="en-US" w:eastAsia="zh-CN" w:bidi="ar-SA"/>
        </w:rPr>
      </w:pPr>
      <w:bookmarkStart w:id="91" w:name="_Toc27560"/>
      <w:bookmarkStart w:id="92" w:name="_Toc2019"/>
      <w:bookmarkStart w:id="93" w:name="_Toc8154"/>
      <w:r>
        <w:rPr>
          <w:rFonts w:hint="eastAsia" w:ascii="仿宋_GB2312" w:hAnsi="仿宋_GB2312" w:eastAsia="仿宋_GB2312" w:cs="仿宋_GB2312"/>
          <w:b/>
          <w:bCs/>
          <w:kern w:val="2"/>
          <w:sz w:val="28"/>
          <w:szCs w:val="28"/>
          <w:highlight w:val="none"/>
          <w:lang w:val="en-US" w:eastAsia="zh-CN" w:bidi="ar-SA"/>
        </w:rPr>
        <w:t>十五、合同的终止与解除</w:t>
      </w:r>
      <w:bookmarkEnd w:id="91"/>
      <w:bookmarkEnd w:id="92"/>
      <w:bookmarkEnd w:id="93"/>
    </w:p>
    <w:p>
      <w:pPr>
        <w:pStyle w:val="9"/>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1、任意一方就合同履行有变更，应与相对方协商一致，签署补充协议。</w:t>
      </w:r>
    </w:p>
    <w:p>
      <w:pPr>
        <w:pStyle w:val="9"/>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2、出现下列情形的，相对方有权解除合同，并要求对方承担违约责任：</w:t>
      </w:r>
    </w:p>
    <w:p>
      <w:pPr>
        <w:pStyle w:val="9"/>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（1）双方协商一致；</w:t>
      </w:r>
    </w:p>
    <w:p>
      <w:pPr>
        <w:pStyle w:val="9"/>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（2）因不可抗力致使合同无法履行；</w:t>
      </w:r>
    </w:p>
    <w:p>
      <w:pPr>
        <w:pStyle w:val="9"/>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（3）因甲方不按约支付合同款项，经乙方催告后10天仍不支付；</w:t>
      </w:r>
    </w:p>
    <w:p>
      <w:pPr>
        <w:pStyle w:val="9"/>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（4）因乙方不按约提供或更换合格货物/服务，经甲方催告后仍不履行的；</w:t>
      </w:r>
    </w:p>
    <w:p>
      <w:pPr>
        <w:pStyle w:val="9"/>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（5）一方明示或者以行为默示方式，表明不履行合同约定的；</w:t>
      </w:r>
    </w:p>
    <w:p>
      <w:pPr>
        <w:pStyle w:val="9"/>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（6）其他违反合同约定行为，导致合同目的不能实现，经相对方催告后仍不履行的；</w:t>
      </w:r>
    </w:p>
    <w:p>
      <w:pPr>
        <w:pStyle w:val="9"/>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default"/>
          <w:lang w:val="en-US" w:eastAsia="zh-CN"/>
        </w:rPr>
      </w:pPr>
      <w:r>
        <w:rPr>
          <w:rFonts w:hint="eastAsia" w:ascii="仿宋_GB2312" w:hAnsi="仿宋_GB2312" w:eastAsia="仿宋_GB2312" w:cs="仿宋_GB2312"/>
          <w:kern w:val="2"/>
          <w:sz w:val="28"/>
          <w:szCs w:val="28"/>
          <w:highlight w:val="none"/>
          <w:lang w:val="en-US" w:eastAsia="zh-CN" w:bidi="ar-SA"/>
        </w:rPr>
        <w:t>3、双方履行完本合同约定义务后，本合同终止。</w:t>
      </w:r>
    </w:p>
    <w:p>
      <w:pPr>
        <w:pStyle w:val="9"/>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十</w:t>
      </w:r>
      <w:r>
        <w:rPr>
          <w:rFonts w:hint="eastAsia" w:ascii="仿宋_GB2312" w:hAnsi="仿宋_GB2312" w:eastAsia="仿宋_GB2312" w:cs="仿宋_GB2312"/>
          <w:b/>
          <w:sz w:val="28"/>
          <w:szCs w:val="28"/>
          <w:highlight w:val="none"/>
          <w:lang w:val="en-US" w:eastAsia="zh-CN"/>
        </w:rPr>
        <w:t>六</w:t>
      </w:r>
      <w:r>
        <w:rPr>
          <w:rFonts w:hint="eastAsia" w:ascii="仿宋_GB2312" w:hAnsi="仿宋_GB2312" w:eastAsia="仿宋_GB2312" w:cs="仿宋_GB2312"/>
          <w:b/>
          <w:sz w:val="28"/>
          <w:szCs w:val="28"/>
          <w:highlight w:val="none"/>
        </w:rPr>
        <w:t>、其它事项</w:t>
      </w:r>
    </w:p>
    <w:p>
      <w:pPr>
        <w:pStyle w:val="3"/>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kern w:val="2"/>
          <w:sz w:val="28"/>
          <w:szCs w:val="28"/>
          <w:highlight w:val="none"/>
          <w:lang w:val="en-US" w:eastAsia="zh-CN" w:bidi="ar-SA"/>
        </w:rPr>
        <w:t>乙方承诺三年内无犯罪记录、重大经济纠纷、经济犯罪和重大合同违约等情形。</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本合同一式</w:t>
      </w:r>
      <w:r>
        <w:rPr>
          <w:rFonts w:hint="eastAsia" w:ascii="仿宋_GB2312" w:hAnsi="仿宋_GB2312" w:eastAsia="仿宋_GB2312" w:cs="仿宋_GB2312"/>
          <w:sz w:val="28"/>
          <w:szCs w:val="28"/>
          <w:highlight w:val="none"/>
          <w:u w:val="single"/>
          <w:lang w:val="en-US" w:eastAsia="zh-CN"/>
        </w:rPr>
        <w:t xml:space="preserve"> 肆 </w:t>
      </w:r>
      <w:r>
        <w:rPr>
          <w:rFonts w:hint="eastAsia" w:ascii="仿宋_GB2312" w:hAnsi="仿宋_GB2312" w:eastAsia="仿宋_GB2312" w:cs="仿宋_GB2312"/>
          <w:sz w:val="28"/>
          <w:szCs w:val="28"/>
          <w:highlight w:val="none"/>
        </w:rPr>
        <w:t>份，甲方执</w:t>
      </w:r>
      <w:r>
        <w:rPr>
          <w:rFonts w:hint="eastAsia" w:ascii="仿宋_GB2312" w:hAnsi="仿宋_GB2312" w:eastAsia="仿宋_GB2312" w:cs="仿宋_GB2312"/>
          <w:sz w:val="28"/>
          <w:szCs w:val="28"/>
          <w:highlight w:val="none"/>
          <w:u w:val="single"/>
          <w:lang w:val="en-US" w:eastAsia="zh-CN"/>
        </w:rPr>
        <w:t xml:space="preserve">  叁 </w:t>
      </w:r>
      <w:r>
        <w:rPr>
          <w:rFonts w:hint="eastAsia" w:ascii="仿宋_GB2312" w:hAnsi="仿宋_GB2312" w:eastAsia="仿宋_GB2312" w:cs="仿宋_GB2312"/>
          <w:sz w:val="28"/>
          <w:szCs w:val="28"/>
          <w:highlight w:val="none"/>
        </w:rPr>
        <w:t>份，乙方执</w:t>
      </w:r>
      <w:r>
        <w:rPr>
          <w:rFonts w:hint="eastAsia" w:ascii="仿宋_GB2312" w:hAnsi="仿宋_GB2312" w:eastAsia="仿宋_GB2312" w:cs="仿宋_GB2312"/>
          <w:sz w:val="28"/>
          <w:szCs w:val="28"/>
          <w:highlight w:val="none"/>
          <w:u w:val="single"/>
          <w:lang w:val="en-US" w:eastAsia="zh-CN"/>
        </w:rPr>
        <w:t xml:space="preserve"> 壹  </w:t>
      </w:r>
      <w:r>
        <w:rPr>
          <w:rFonts w:hint="eastAsia" w:ascii="仿宋_GB2312" w:hAnsi="仿宋_GB2312" w:eastAsia="仿宋_GB2312" w:cs="仿宋_GB2312"/>
          <w:sz w:val="28"/>
          <w:szCs w:val="28"/>
          <w:highlight w:val="none"/>
        </w:rPr>
        <w:t>份。</w:t>
      </w:r>
    </w:p>
    <w:p>
      <w:pPr>
        <w:pStyle w:val="9"/>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本合同自法定</w:t>
      </w:r>
      <w:r>
        <w:rPr>
          <w:rFonts w:hint="eastAsia" w:ascii="仿宋_GB2312" w:hAnsi="仿宋_GB2312" w:eastAsia="仿宋_GB2312" w:cs="仿宋_GB2312"/>
          <w:sz w:val="28"/>
          <w:szCs w:val="28"/>
          <w:highlight w:val="none"/>
          <w:lang w:val="en-US" w:eastAsia="zh-CN"/>
        </w:rPr>
        <w:t>代表人或</w:t>
      </w:r>
      <w:r>
        <w:rPr>
          <w:rFonts w:hint="eastAsia" w:ascii="仿宋_GB2312" w:hAnsi="仿宋_GB2312" w:eastAsia="仿宋_GB2312" w:cs="仿宋_GB2312"/>
          <w:sz w:val="28"/>
          <w:szCs w:val="28"/>
          <w:highlight w:val="none"/>
        </w:rPr>
        <w:t>授权</w:t>
      </w:r>
      <w:r>
        <w:rPr>
          <w:rFonts w:hint="eastAsia" w:ascii="仿宋_GB2312" w:hAnsi="仿宋_GB2312" w:eastAsia="仿宋_GB2312" w:cs="仿宋_GB2312"/>
          <w:sz w:val="28"/>
          <w:szCs w:val="28"/>
          <w:highlight w:val="none"/>
          <w:lang w:val="en-US" w:eastAsia="zh-CN"/>
        </w:rPr>
        <w:t>代理人签字或</w:t>
      </w:r>
      <w:r>
        <w:rPr>
          <w:rFonts w:hint="eastAsia" w:ascii="仿宋_GB2312" w:hAnsi="仿宋_GB2312" w:eastAsia="仿宋_GB2312" w:cs="仿宋_GB2312"/>
          <w:sz w:val="28"/>
          <w:szCs w:val="28"/>
          <w:highlight w:val="none"/>
        </w:rPr>
        <w:t>签章并加盖公章之日起生效。</w:t>
      </w:r>
    </w:p>
    <w:p>
      <w:pPr>
        <w:keepNext w:val="0"/>
        <w:keepLines w:val="0"/>
        <w:pageBreakBefore w:val="0"/>
        <w:widowControl w:val="0"/>
        <w:kinsoku/>
        <w:wordWrap/>
        <w:overflowPunct/>
        <w:topLinePunct w:val="0"/>
        <w:autoSpaceDE/>
        <w:autoSpaceDN/>
        <w:bidi w:val="0"/>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t>4</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其它未尽事宜，由双方友好协商解决，并签订补充协议。</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（以下无正文）</w:t>
      </w:r>
      <w:r>
        <w:rPr>
          <w:rFonts w:hint="eastAsia" w:ascii="仿宋_GB2312" w:hAnsi="仿宋_GB2312" w:eastAsia="仿宋_GB2312" w:cs="仿宋_GB2312"/>
          <w:sz w:val="28"/>
          <w:szCs w:val="28"/>
        </w:rPr>
        <w:br w:type="page"/>
      </w:r>
    </w:p>
    <w:p>
      <w:pPr>
        <w:pStyle w:val="9"/>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签章页</w:t>
      </w:r>
      <w:r>
        <w:rPr>
          <w:rFonts w:hint="eastAsia" w:ascii="仿宋_GB2312" w:hAnsi="仿宋_GB2312" w:eastAsia="仿宋_GB2312" w:cs="仿宋_GB2312"/>
          <w:sz w:val="28"/>
          <w:szCs w:val="28"/>
          <w:lang w:eastAsia="zh-CN"/>
        </w:rPr>
        <w:t>）</w:t>
      </w:r>
    </w:p>
    <w:tbl>
      <w:tblPr>
        <w:tblStyle w:val="16"/>
        <w:tblW w:w="0" w:type="auto"/>
        <w:tblInd w:w="0" w:type="dxa"/>
        <w:tblLayout w:type="autofit"/>
        <w:tblCellMar>
          <w:top w:w="0" w:type="dxa"/>
          <w:left w:w="108" w:type="dxa"/>
          <w:bottom w:w="0" w:type="dxa"/>
          <w:right w:w="108" w:type="dxa"/>
        </w:tblCellMar>
      </w:tblPr>
      <w:tblGrid>
        <w:gridCol w:w="4262"/>
        <w:gridCol w:w="4260"/>
      </w:tblGrid>
      <w:tr>
        <w:tblPrEx>
          <w:tblCellMar>
            <w:top w:w="0" w:type="dxa"/>
            <w:left w:w="108" w:type="dxa"/>
            <w:bottom w:w="0" w:type="dxa"/>
            <w:right w:w="108" w:type="dxa"/>
          </w:tblCellMar>
        </w:tblPrEx>
        <w:trPr>
          <w:trHeight w:val="1049" w:hRule="atLeast"/>
        </w:trPr>
        <w:tc>
          <w:tcPr>
            <w:tcW w:w="4262" w:type="dxa"/>
            <w:noWrap w:val="0"/>
            <w:vAlign w:val="top"/>
          </w:tcPr>
          <w:p>
            <w:pPr>
              <w:spacing w:line="560" w:lineRule="exact"/>
              <w:rPr>
                <w:rFonts w:hint="eastAsia" w:ascii="楷体" w:hAnsi="楷体" w:eastAsia="楷体" w:cs="楷体"/>
                <w:sz w:val="28"/>
                <w:szCs w:val="28"/>
              </w:rPr>
            </w:pPr>
            <w:r>
              <w:rPr>
                <w:rFonts w:hint="eastAsia" w:ascii="楷体" w:hAnsi="楷体" w:eastAsia="楷体" w:cs="楷体"/>
                <w:sz w:val="28"/>
                <w:szCs w:val="28"/>
              </w:rPr>
              <w:t>甲方：（盖章）</w:t>
            </w:r>
          </w:p>
        </w:tc>
        <w:tc>
          <w:tcPr>
            <w:tcW w:w="4260" w:type="dxa"/>
            <w:noWrap w:val="0"/>
            <w:vAlign w:val="top"/>
          </w:tcPr>
          <w:p>
            <w:pPr>
              <w:spacing w:line="560" w:lineRule="exact"/>
              <w:rPr>
                <w:rFonts w:hint="eastAsia" w:ascii="楷体" w:hAnsi="楷体" w:eastAsia="楷体" w:cs="楷体"/>
                <w:sz w:val="28"/>
                <w:szCs w:val="28"/>
              </w:rPr>
            </w:pPr>
            <w:r>
              <w:rPr>
                <w:rFonts w:hint="eastAsia" w:ascii="楷体" w:hAnsi="楷体" w:eastAsia="楷体" w:cs="楷体"/>
                <w:sz w:val="28"/>
                <w:szCs w:val="28"/>
              </w:rPr>
              <w:t>乙方：（盖章）</w:t>
            </w:r>
          </w:p>
        </w:tc>
      </w:tr>
      <w:tr>
        <w:tblPrEx>
          <w:tblCellMar>
            <w:top w:w="0" w:type="dxa"/>
            <w:left w:w="108" w:type="dxa"/>
            <w:bottom w:w="0" w:type="dxa"/>
            <w:right w:w="108" w:type="dxa"/>
          </w:tblCellMar>
        </w:tblPrEx>
        <w:trPr>
          <w:trHeight w:val="1000" w:hRule="atLeast"/>
        </w:trPr>
        <w:tc>
          <w:tcPr>
            <w:tcW w:w="4262" w:type="dxa"/>
            <w:noWrap w:val="0"/>
            <w:vAlign w:val="top"/>
          </w:tcPr>
          <w:p>
            <w:pPr>
              <w:spacing w:line="560" w:lineRule="exact"/>
              <w:rPr>
                <w:rFonts w:hint="eastAsia" w:ascii="楷体" w:hAnsi="楷体" w:eastAsia="楷体" w:cs="楷体"/>
                <w:sz w:val="28"/>
                <w:szCs w:val="28"/>
              </w:rPr>
            </w:pPr>
            <w:r>
              <w:rPr>
                <w:rFonts w:hint="eastAsia" w:ascii="楷体" w:hAnsi="楷体" w:eastAsia="楷体" w:cs="楷体"/>
                <w:sz w:val="28"/>
                <w:szCs w:val="28"/>
              </w:rPr>
              <w:t>法定代表人</w:t>
            </w:r>
          </w:p>
          <w:p>
            <w:pPr>
              <w:spacing w:line="560" w:lineRule="exact"/>
              <w:rPr>
                <w:rFonts w:hint="eastAsia" w:ascii="楷体" w:hAnsi="楷体" w:eastAsia="楷体" w:cs="楷体"/>
                <w:sz w:val="28"/>
                <w:szCs w:val="28"/>
              </w:rPr>
            </w:pPr>
            <w:r>
              <w:rPr>
                <w:rFonts w:hint="eastAsia" w:ascii="楷体" w:hAnsi="楷体" w:eastAsia="楷体" w:cs="楷体"/>
                <w:sz w:val="28"/>
                <w:szCs w:val="28"/>
              </w:rPr>
              <w:t>或（授权代理人）：</w:t>
            </w:r>
          </w:p>
        </w:tc>
        <w:tc>
          <w:tcPr>
            <w:tcW w:w="4260" w:type="dxa"/>
            <w:noWrap w:val="0"/>
            <w:vAlign w:val="top"/>
          </w:tcPr>
          <w:p>
            <w:pPr>
              <w:spacing w:line="560" w:lineRule="exact"/>
              <w:rPr>
                <w:rFonts w:hint="eastAsia" w:ascii="楷体" w:hAnsi="楷体" w:eastAsia="楷体" w:cs="楷体"/>
                <w:sz w:val="28"/>
                <w:szCs w:val="28"/>
              </w:rPr>
            </w:pPr>
            <w:r>
              <w:rPr>
                <w:rFonts w:hint="eastAsia" w:ascii="楷体" w:hAnsi="楷体" w:eastAsia="楷体" w:cs="楷体"/>
                <w:sz w:val="28"/>
                <w:szCs w:val="28"/>
              </w:rPr>
              <w:t>法定代表人</w:t>
            </w:r>
          </w:p>
          <w:p>
            <w:pPr>
              <w:spacing w:line="560" w:lineRule="exact"/>
              <w:rPr>
                <w:rFonts w:hint="eastAsia" w:ascii="楷体" w:hAnsi="楷体" w:eastAsia="楷体" w:cs="楷体"/>
                <w:sz w:val="28"/>
                <w:szCs w:val="28"/>
              </w:rPr>
            </w:pPr>
            <w:r>
              <w:rPr>
                <w:rFonts w:hint="eastAsia" w:ascii="楷体" w:hAnsi="楷体" w:eastAsia="楷体" w:cs="楷体"/>
                <w:sz w:val="28"/>
                <w:szCs w:val="28"/>
              </w:rPr>
              <w:t>或（授权代理人）：</w:t>
            </w:r>
          </w:p>
        </w:tc>
      </w:tr>
      <w:tr>
        <w:tblPrEx>
          <w:tblCellMar>
            <w:top w:w="0" w:type="dxa"/>
            <w:left w:w="108" w:type="dxa"/>
            <w:bottom w:w="0" w:type="dxa"/>
            <w:right w:w="108" w:type="dxa"/>
          </w:tblCellMar>
        </w:tblPrEx>
        <w:trPr>
          <w:trHeight w:val="1000" w:hRule="atLeast"/>
        </w:trPr>
        <w:tc>
          <w:tcPr>
            <w:tcW w:w="4262" w:type="dxa"/>
            <w:noWrap w:val="0"/>
            <w:vAlign w:val="top"/>
          </w:tcPr>
          <w:p>
            <w:pPr>
              <w:spacing w:line="560" w:lineRule="exact"/>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联系</w:t>
            </w:r>
            <w:r>
              <w:rPr>
                <w:rFonts w:hint="eastAsia" w:ascii="楷体" w:hAnsi="楷体" w:eastAsia="楷体" w:cs="楷体"/>
                <w:sz w:val="28"/>
                <w:szCs w:val="28"/>
              </w:rPr>
              <w:t>地址：</w:t>
            </w:r>
            <w:r>
              <w:rPr>
                <w:rFonts w:hint="eastAsia" w:ascii="楷体" w:hAnsi="楷体" w:eastAsia="楷体" w:cs="楷体"/>
                <w:sz w:val="28"/>
                <w:szCs w:val="28"/>
                <w:lang w:val="en-US" w:eastAsia="zh-CN"/>
              </w:rPr>
              <w:t>四川省泸州市江阳区华阳街道胜景南路53号1栋二层</w:t>
            </w:r>
          </w:p>
        </w:tc>
        <w:tc>
          <w:tcPr>
            <w:tcW w:w="4260" w:type="dxa"/>
            <w:noWrap w:val="0"/>
            <w:vAlign w:val="top"/>
          </w:tcPr>
          <w:p>
            <w:pPr>
              <w:spacing w:line="560" w:lineRule="exact"/>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联系</w:t>
            </w:r>
            <w:r>
              <w:rPr>
                <w:rFonts w:hint="eastAsia" w:ascii="楷体" w:hAnsi="楷体" w:eastAsia="楷体" w:cs="楷体"/>
                <w:sz w:val="28"/>
                <w:szCs w:val="28"/>
              </w:rPr>
              <w:t>地址：</w:t>
            </w:r>
          </w:p>
        </w:tc>
      </w:tr>
      <w:tr>
        <w:tblPrEx>
          <w:tblCellMar>
            <w:top w:w="0" w:type="dxa"/>
            <w:left w:w="108" w:type="dxa"/>
            <w:bottom w:w="0" w:type="dxa"/>
            <w:right w:w="108" w:type="dxa"/>
          </w:tblCellMar>
        </w:tblPrEx>
        <w:trPr>
          <w:trHeight w:val="848" w:hRule="atLeast"/>
        </w:trPr>
        <w:tc>
          <w:tcPr>
            <w:tcW w:w="4262" w:type="dxa"/>
            <w:noWrap w:val="0"/>
            <w:vAlign w:val="top"/>
          </w:tcPr>
          <w:p>
            <w:pPr>
              <w:spacing w:line="560" w:lineRule="exact"/>
              <w:rPr>
                <w:rFonts w:hint="default" w:ascii="楷体" w:hAnsi="楷体" w:eastAsia="楷体" w:cs="楷体"/>
                <w:sz w:val="28"/>
                <w:szCs w:val="28"/>
                <w:lang w:val="en-US" w:eastAsia="zh-CN"/>
              </w:rPr>
            </w:pPr>
            <w:r>
              <w:rPr>
                <w:rFonts w:hint="eastAsia" w:ascii="楷体" w:hAnsi="楷体" w:eastAsia="楷体" w:cs="楷体"/>
                <w:sz w:val="28"/>
                <w:szCs w:val="28"/>
              </w:rPr>
              <w:t>开户银行：</w:t>
            </w:r>
            <w:r>
              <w:rPr>
                <w:rFonts w:hint="eastAsia" w:ascii="楷体" w:hAnsi="楷体" w:eastAsia="楷体" w:cs="楷体"/>
                <w:sz w:val="28"/>
                <w:szCs w:val="28"/>
                <w:lang w:val="en-US" w:eastAsia="zh-CN"/>
              </w:rPr>
              <w:t>泸州银行营业部</w:t>
            </w:r>
          </w:p>
        </w:tc>
        <w:tc>
          <w:tcPr>
            <w:tcW w:w="426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sz w:val="28"/>
                <w:szCs w:val="28"/>
                <w:lang w:val="en-US" w:eastAsia="zh-CN"/>
              </w:rPr>
            </w:pPr>
            <w:r>
              <w:rPr>
                <w:rFonts w:hint="eastAsia" w:ascii="楷体" w:hAnsi="楷体" w:eastAsia="楷体" w:cs="楷体"/>
                <w:sz w:val="28"/>
                <w:szCs w:val="28"/>
              </w:rPr>
              <w:t>开户银行：</w:t>
            </w:r>
          </w:p>
        </w:tc>
      </w:tr>
      <w:tr>
        <w:tblPrEx>
          <w:tblCellMar>
            <w:top w:w="0" w:type="dxa"/>
            <w:left w:w="108" w:type="dxa"/>
            <w:bottom w:w="0" w:type="dxa"/>
            <w:right w:w="108" w:type="dxa"/>
          </w:tblCellMar>
        </w:tblPrEx>
        <w:tc>
          <w:tcPr>
            <w:tcW w:w="4262" w:type="dxa"/>
            <w:noWrap w:val="0"/>
            <w:vAlign w:val="top"/>
          </w:tcPr>
          <w:p>
            <w:pPr>
              <w:spacing w:line="560" w:lineRule="exact"/>
              <w:rPr>
                <w:rFonts w:hint="default" w:ascii="楷体" w:hAnsi="楷体" w:eastAsia="楷体" w:cs="楷体"/>
                <w:sz w:val="28"/>
                <w:szCs w:val="28"/>
                <w:lang w:val="en-US" w:eastAsia="zh-CN"/>
              </w:rPr>
            </w:pPr>
            <w:r>
              <w:rPr>
                <w:rFonts w:hint="eastAsia" w:ascii="楷体" w:hAnsi="楷体" w:eastAsia="楷体" w:cs="楷体"/>
                <w:sz w:val="28"/>
                <w:szCs w:val="28"/>
              </w:rPr>
              <w:t>账 号：</w:t>
            </w:r>
            <w:r>
              <w:rPr>
                <w:rFonts w:hint="eastAsia" w:ascii="楷体" w:hAnsi="楷体" w:eastAsia="楷体" w:cs="楷体"/>
                <w:sz w:val="28"/>
                <w:szCs w:val="28"/>
                <w:lang w:val="en-US" w:eastAsia="zh-CN"/>
              </w:rPr>
              <w:t>2010900000165766</w:t>
            </w:r>
          </w:p>
        </w:tc>
        <w:tc>
          <w:tcPr>
            <w:tcW w:w="4260" w:type="dxa"/>
            <w:noWrap w:val="0"/>
            <w:vAlign w:val="top"/>
          </w:tcPr>
          <w:p>
            <w:pPr>
              <w:keepNext w:val="0"/>
              <w:keepLines w:val="0"/>
              <w:pageBreakBefore w:val="0"/>
              <w:widowControl w:val="0"/>
              <w:kinsoku/>
              <w:wordWrap/>
              <w:overflowPunct/>
              <w:topLinePunct w:val="0"/>
              <w:bidi w:val="0"/>
              <w:spacing w:line="400" w:lineRule="exact"/>
              <w:jc w:val="left"/>
              <w:textAlignment w:val="auto"/>
              <w:rPr>
                <w:rFonts w:hint="default" w:ascii="楷体" w:hAnsi="楷体" w:eastAsia="楷体" w:cs="楷体"/>
                <w:sz w:val="28"/>
                <w:szCs w:val="28"/>
                <w:lang w:val="en-US" w:eastAsia="zh-CN"/>
              </w:rPr>
            </w:pPr>
            <w:r>
              <w:rPr>
                <w:rFonts w:hint="eastAsia" w:ascii="楷体" w:hAnsi="楷体" w:eastAsia="楷体" w:cs="楷体"/>
                <w:sz w:val="28"/>
                <w:szCs w:val="28"/>
              </w:rPr>
              <w:t>账 号：</w:t>
            </w:r>
          </w:p>
        </w:tc>
      </w:tr>
      <w:tr>
        <w:tblPrEx>
          <w:tblCellMar>
            <w:top w:w="0" w:type="dxa"/>
            <w:left w:w="108" w:type="dxa"/>
            <w:bottom w:w="0" w:type="dxa"/>
            <w:right w:w="108" w:type="dxa"/>
          </w:tblCellMar>
        </w:tblPrEx>
        <w:trPr>
          <w:trHeight w:val="503" w:hRule="atLeast"/>
        </w:trPr>
        <w:tc>
          <w:tcPr>
            <w:tcW w:w="4262" w:type="dxa"/>
            <w:noWrap w:val="0"/>
            <w:vAlign w:val="top"/>
          </w:tcPr>
          <w:p>
            <w:pPr>
              <w:spacing w:line="560" w:lineRule="exact"/>
              <w:rPr>
                <w:rFonts w:hint="eastAsia" w:ascii="楷体" w:hAnsi="楷体" w:eastAsia="楷体" w:cs="楷体"/>
                <w:sz w:val="28"/>
                <w:szCs w:val="28"/>
                <w:lang w:val="en-US" w:eastAsia="zh-CN"/>
              </w:rPr>
            </w:pPr>
            <w:r>
              <w:rPr>
                <w:rFonts w:hint="eastAsia" w:ascii="楷体" w:hAnsi="楷体" w:eastAsia="楷体" w:cs="楷体"/>
                <w:sz w:val="28"/>
                <w:szCs w:val="28"/>
              </w:rPr>
              <w:t>联系人：</w:t>
            </w:r>
          </w:p>
        </w:tc>
        <w:tc>
          <w:tcPr>
            <w:tcW w:w="4260" w:type="dxa"/>
            <w:noWrap w:val="0"/>
            <w:vAlign w:val="top"/>
          </w:tcPr>
          <w:p>
            <w:pPr>
              <w:spacing w:line="560" w:lineRule="exact"/>
              <w:rPr>
                <w:rFonts w:hint="default" w:ascii="楷体" w:hAnsi="楷体" w:eastAsia="楷体" w:cs="楷体"/>
                <w:sz w:val="28"/>
                <w:szCs w:val="28"/>
                <w:lang w:val="en-US" w:eastAsia="zh-CN"/>
              </w:rPr>
            </w:pPr>
            <w:r>
              <w:rPr>
                <w:rFonts w:hint="eastAsia" w:ascii="楷体" w:hAnsi="楷体" w:eastAsia="楷体" w:cs="楷体"/>
                <w:sz w:val="28"/>
                <w:szCs w:val="28"/>
              </w:rPr>
              <w:t>联系人</w:t>
            </w:r>
            <w:r>
              <w:rPr>
                <w:rFonts w:hint="eastAsia" w:ascii="楷体" w:hAnsi="楷体" w:eastAsia="楷体" w:cs="楷体"/>
                <w:sz w:val="28"/>
                <w:szCs w:val="28"/>
                <w:lang w:eastAsia="zh-CN"/>
              </w:rPr>
              <w:t>：</w:t>
            </w:r>
          </w:p>
        </w:tc>
      </w:tr>
      <w:tr>
        <w:tblPrEx>
          <w:tblCellMar>
            <w:top w:w="0" w:type="dxa"/>
            <w:left w:w="108" w:type="dxa"/>
            <w:bottom w:w="0" w:type="dxa"/>
            <w:right w:w="108" w:type="dxa"/>
          </w:tblCellMar>
        </w:tblPrEx>
        <w:trPr>
          <w:trHeight w:val="500" w:hRule="atLeast"/>
        </w:trPr>
        <w:tc>
          <w:tcPr>
            <w:tcW w:w="4262" w:type="dxa"/>
            <w:noWrap w:val="0"/>
            <w:vAlign w:val="top"/>
          </w:tcPr>
          <w:p>
            <w:pPr>
              <w:spacing w:line="560" w:lineRule="exact"/>
              <w:rPr>
                <w:rFonts w:hint="default" w:ascii="楷体" w:hAnsi="楷体" w:eastAsia="楷体" w:cs="楷体"/>
                <w:sz w:val="28"/>
                <w:szCs w:val="28"/>
                <w:lang w:val="en-US" w:eastAsia="zh-CN"/>
              </w:rPr>
            </w:pPr>
            <w:r>
              <w:rPr>
                <w:rFonts w:hint="eastAsia" w:ascii="楷体" w:hAnsi="楷体" w:eastAsia="楷体" w:cs="楷体"/>
                <w:sz w:val="28"/>
                <w:szCs w:val="28"/>
              </w:rPr>
              <w:t>联系电话：</w:t>
            </w:r>
            <w:r>
              <w:rPr>
                <w:rFonts w:hint="eastAsia" w:ascii="楷体" w:hAnsi="楷体" w:eastAsia="楷体" w:cs="楷体"/>
                <w:sz w:val="28"/>
                <w:szCs w:val="28"/>
                <w:lang w:val="en-US" w:eastAsia="zh-CN"/>
              </w:rPr>
              <w:t>0830-6661300</w:t>
            </w:r>
          </w:p>
        </w:tc>
        <w:tc>
          <w:tcPr>
            <w:tcW w:w="4260" w:type="dxa"/>
            <w:noWrap w:val="0"/>
            <w:vAlign w:val="top"/>
          </w:tcPr>
          <w:p>
            <w:pPr>
              <w:spacing w:line="560" w:lineRule="exact"/>
              <w:rPr>
                <w:rFonts w:hint="default" w:ascii="楷体" w:hAnsi="楷体" w:eastAsia="楷体" w:cs="楷体"/>
                <w:sz w:val="28"/>
                <w:szCs w:val="28"/>
                <w:lang w:val="en-US" w:eastAsia="zh-CN"/>
              </w:rPr>
            </w:pPr>
            <w:r>
              <w:rPr>
                <w:rFonts w:hint="eastAsia" w:ascii="楷体" w:hAnsi="楷体" w:eastAsia="楷体" w:cs="楷体"/>
                <w:sz w:val="28"/>
                <w:szCs w:val="28"/>
              </w:rPr>
              <w:t>联系电话：</w:t>
            </w:r>
          </w:p>
        </w:tc>
      </w:tr>
      <w:tr>
        <w:tblPrEx>
          <w:tblCellMar>
            <w:top w:w="0" w:type="dxa"/>
            <w:left w:w="108" w:type="dxa"/>
            <w:bottom w:w="0" w:type="dxa"/>
            <w:right w:w="108" w:type="dxa"/>
          </w:tblCellMar>
        </w:tblPrEx>
        <w:trPr>
          <w:trHeight w:val="515" w:hRule="atLeast"/>
        </w:trPr>
        <w:tc>
          <w:tcPr>
            <w:tcW w:w="4262" w:type="dxa"/>
            <w:noWrap w:val="0"/>
            <w:vAlign w:val="top"/>
          </w:tcPr>
          <w:p>
            <w:pPr>
              <w:spacing w:line="560" w:lineRule="exact"/>
              <w:rPr>
                <w:rFonts w:hint="eastAsia" w:ascii="楷体" w:hAnsi="楷体" w:eastAsia="楷体" w:cs="楷体"/>
                <w:sz w:val="28"/>
                <w:szCs w:val="28"/>
              </w:rPr>
            </w:pPr>
            <w:r>
              <w:rPr>
                <w:rFonts w:hint="eastAsia" w:ascii="楷体" w:hAnsi="楷体" w:eastAsia="楷体" w:cs="楷体"/>
                <w:sz w:val="28"/>
                <w:szCs w:val="28"/>
              </w:rPr>
              <w:t>签约日期：</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年  月  日</w:t>
            </w:r>
          </w:p>
        </w:tc>
        <w:tc>
          <w:tcPr>
            <w:tcW w:w="4260" w:type="dxa"/>
            <w:noWrap w:val="0"/>
            <w:vAlign w:val="top"/>
          </w:tcPr>
          <w:p>
            <w:pPr>
              <w:spacing w:line="560" w:lineRule="exact"/>
              <w:rPr>
                <w:rFonts w:hint="eastAsia" w:ascii="楷体" w:hAnsi="楷体" w:eastAsia="楷体" w:cs="楷体"/>
                <w:sz w:val="28"/>
                <w:szCs w:val="28"/>
              </w:rPr>
            </w:pPr>
            <w:r>
              <w:rPr>
                <w:rFonts w:hint="eastAsia" w:ascii="楷体" w:hAnsi="楷体" w:eastAsia="楷体" w:cs="楷体"/>
                <w:sz w:val="28"/>
                <w:szCs w:val="28"/>
              </w:rPr>
              <w:t>签约日期：</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年  月  日</w:t>
            </w:r>
          </w:p>
        </w:tc>
      </w:tr>
    </w:tbl>
    <w:p>
      <w:pPr>
        <w:rPr>
          <w:rFonts w:hint="eastAsia"/>
          <w:sz w:val="28"/>
          <w:szCs w:val="28"/>
          <w:lang w:val="en-US" w:eastAsia="zh-CN"/>
        </w:rPr>
      </w:pPr>
    </w:p>
    <w:p>
      <w:pPr>
        <w:pStyle w:val="2"/>
        <w:pageBreakBefore w:val="0"/>
        <w:kinsoku/>
        <w:wordWrap/>
        <w:overflowPunct/>
        <w:topLinePunct w:val="0"/>
        <w:bidi w:val="0"/>
        <w:spacing w:line="400" w:lineRule="exact"/>
        <w:ind w:left="0" w:leftChars="0" w:firstLine="0" w:firstLineChars="0"/>
        <w:rPr>
          <w:rFonts w:hint="eastAsia" w:ascii="仿宋_GB2312" w:hAnsi="仿宋_GB2312" w:eastAsia="仿宋_GB2312" w:cs="仿宋_GB2312"/>
          <w:color w:val="auto"/>
          <w:sz w:val="28"/>
          <w:szCs w:val="28"/>
          <w:lang w:val="en-US" w:eastAsia="zh-CN"/>
        </w:rPr>
      </w:pPr>
    </w:p>
    <w:p>
      <w:pPr>
        <w:rPr>
          <w:rFonts w:hint="eastAsia" w:eastAsia="宋体"/>
          <w:lang w:val="en-US" w:eastAsia="zh-CN"/>
        </w:rPr>
      </w:pPr>
    </w:p>
    <w:p/>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0"/>
                      <w:jc w:val="center"/>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9"/>
      </w:rPr>
    </w:pPr>
    <w:r>
      <w:fldChar w:fldCharType="begin"/>
    </w:r>
    <w:r>
      <w:rPr>
        <w:rStyle w:val="19"/>
      </w:rPr>
      <w:instrText xml:space="preserve">PAGE  </w:instrText>
    </w:r>
    <w:r>
      <w:fldChar w:fldCharType="end"/>
    </w:r>
  </w:p>
  <w:p>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4" o:spt="136" type="#_x0000_t136" style="position:absolute;left:0pt;height:30.8pt;width:554.55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91"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90"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453D7182"/>
    <w:multiLevelType w:val="multilevel"/>
    <w:tmpl w:val="453D7182"/>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A0738F3"/>
    <w:multiLevelType w:val="singleLevel"/>
    <w:tmpl w:val="4A0738F3"/>
    <w:lvl w:ilvl="0" w:tentative="0">
      <w:start w:val="11"/>
      <w:numFmt w:val="chineseCounting"/>
      <w:suff w:val="nothing"/>
      <w:lvlText w:val="%1、"/>
      <w:lvlJc w:val="left"/>
      <w:rPr>
        <w:rFonts w:hint="eastAsia"/>
      </w:rPr>
    </w:lvl>
  </w:abstractNum>
  <w:abstractNum w:abstractNumId="3">
    <w:nsid w:val="6CC649AD"/>
    <w:multiLevelType w:val="singleLevel"/>
    <w:tmpl w:val="6CC649AD"/>
    <w:lvl w:ilvl="0" w:tentative="0">
      <w:start w:val="3"/>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A2D02"/>
    <w:rsid w:val="0343430C"/>
    <w:rsid w:val="079E3E7E"/>
    <w:rsid w:val="0B1C1D90"/>
    <w:rsid w:val="16F14633"/>
    <w:rsid w:val="28A228C0"/>
    <w:rsid w:val="4C231829"/>
    <w:rsid w:val="50B30973"/>
    <w:rsid w:val="56BB1258"/>
    <w:rsid w:val="575E405D"/>
    <w:rsid w:val="57CC546B"/>
    <w:rsid w:val="5A9D30EE"/>
    <w:rsid w:val="60DA2D02"/>
    <w:rsid w:val="629C0800"/>
    <w:rsid w:val="75175D74"/>
    <w:rsid w:val="768F0136"/>
    <w:rsid w:val="7BC03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2"/>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link w:val="3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link w:val="28"/>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unhideWhenUsed/>
    <w:qFormat/>
    <w:uiPriority w:val="99"/>
    <w:pPr>
      <w:spacing w:after="120"/>
    </w:pPr>
  </w:style>
  <w:style w:type="paragraph" w:styleId="7">
    <w:name w:val="Body Text Indent"/>
    <w:basedOn w:val="1"/>
    <w:qFormat/>
    <w:uiPriority w:val="0"/>
    <w:pPr>
      <w:ind w:firstLine="630"/>
    </w:pPr>
    <w:rPr>
      <w:sz w:val="32"/>
      <w:szCs w:val="20"/>
    </w:rPr>
  </w:style>
  <w:style w:type="paragraph" w:styleId="8">
    <w:name w:val="toc 3"/>
    <w:basedOn w:val="1"/>
    <w:next w:val="1"/>
    <w:uiPriority w:val="0"/>
    <w:pPr>
      <w:ind w:left="840" w:leftChars="400"/>
    </w:pPr>
  </w:style>
  <w:style w:type="paragraph" w:styleId="9">
    <w:name w:val="Plain Text"/>
    <w:basedOn w:val="1"/>
    <w:qFormat/>
    <w:uiPriority w:val="0"/>
    <w:pPr>
      <w:autoSpaceDE w:val="0"/>
      <w:autoSpaceDN w:val="0"/>
      <w:adjustRightInd w:val="0"/>
    </w:pPr>
    <w:rPr>
      <w:rFonts w:ascii="宋体" w:hAnsi="Times New Roman"/>
      <w:kern w:val="0"/>
      <w:szCs w:val="20"/>
    </w:rPr>
  </w:style>
  <w:style w:type="paragraph" w:styleId="10">
    <w:name w:val="footer"/>
    <w:basedOn w:val="1"/>
    <w:next w:val="11"/>
    <w:qFormat/>
    <w:uiPriority w:val="99"/>
    <w:pPr>
      <w:tabs>
        <w:tab w:val="center" w:pos="4153"/>
        <w:tab w:val="right" w:pos="8306"/>
      </w:tabs>
      <w:snapToGrid w:val="0"/>
      <w:jc w:val="left"/>
    </w:pPr>
    <w:rPr>
      <w:sz w:val="18"/>
      <w:szCs w:val="20"/>
    </w:rPr>
  </w:style>
  <w:style w:type="paragraph" w:styleId="11">
    <w:name w:val="List Paragraph"/>
    <w:basedOn w:val="1"/>
    <w:qFormat/>
    <w:uiPriority w:val="1"/>
    <w:pPr>
      <w:ind w:firstLine="420" w:firstLineChars="200"/>
    </w:pPr>
    <w:rPr>
      <w:rFonts w:ascii="Calibri" w:hAnsi="Calibri"/>
      <w:szCs w:val="22"/>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kern w:val="0"/>
      <w:sz w:val="18"/>
      <w:szCs w:val="18"/>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style>
  <w:style w:type="character" w:styleId="20">
    <w:name w:val="Hyperlink"/>
    <w:qFormat/>
    <w:uiPriority w:val="99"/>
    <w:rPr>
      <w:color w:val="0000FF"/>
      <w:u w:val="single"/>
    </w:rPr>
  </w:style>
  <w:style w:type="character" w:styleId="21">
    <w:name w:val="annotation reference"/>
    <w:qFormat/>
    <w:uiPriority w:val="0"/>
    <w:rPr>
      <w:sz w:val="21"/>
      <w:szCs w:val="21"/>
    </w:rPr>
  </w:style>
  <w:style w:type="paragraph" w:customStyle="1" w:styleId="22">
    <w:name w:val="一级条标题"/>
    <w:basedOn w:val="23"/>
    <w:next w:val="24"/>
    <w:qFormat/>
    <w:uiPriority w:val="0"/>
    <w:pPr>
      <w:spacing w:line="240" w:lineRule="auto"/>
      <w:ind w:left="420"/>
      <w:outlineLvl w:val="2"/>
    </w:pPr>
  </w:style>
  <w:style w:type="paragraph" w:customStyle="1" w:styleId="23">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4">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5">
    <w:name w:val="正文首行缩进两字符"/>
    <w:basedOn w:val="1"/>
    <w:qFormat/>
    <w:uiPriority w:val="0"/>
    <w:pPr>
      <w:spacing w:line="360" w:lineRule="auto"/>
      <w:ind w:firstLine="200" w:firstLineChars="200"/>
    </w:p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8">
    <w:name w:val="标题 3 Char"/>
    <w:link w:val="6"/>
    <w:qFormat/>
    <w:uiPriority w:val="9"/>
    <w:rPr>
      <w:b/>
      <w:bCs/>
      <w:sz w:val="32"/>
      <w:szCs w:val="32"/>
    </w:rPr>
  </w:style>
  <w:style w:type="paragraph" w:customStyle="1" w:styleId="29">
    <w:name w:val="列出段落1"/>
    <w:basedOn w:val="1"/>
    <w:qFormat/>
    <w:uiPriority w:val="34"/>
    <w:pPr>
      <w:ind w:firstLine="420" w:firstLineChars="200"/>
    </w:pPr>
    <w:rPr>
      <w:rFonts w:ascii="Calibri" w:hAnsi="Calibri" w:eastAsia="宋体" w:cs="Times New Roman"/>
      <w:szCs w:val="22"/>
    </w:rPr>
  </w:style>
  <w:style w:type="paragraph" w:customStyle="1" w:styleId="30">
    <w:name w:val="样式 首行缩进:  2 字符"/>
    <w:basedOn w:val="1"/>
    <w:qFormat/>
    <w:uiPriority w:val="0"/>
    <w:pPr>
      <w:spacing w:line="400" w:lineRule="exact"/>
      <w:ind w:firstLine="200" w:firstLineChars="200"/>
    </w:pPr>
    <w:rPr>
      <w:rFonts w:cs="宋体"/>
      <w:sz w:val="24"/>
    </w:rPr>
  </w:style>
  <w:style w:type="character" w:customStyle="1" w:styleId="31">
    <w:name w:val="标题 2 Char"/>
    <w:link w:val="5"/>
    <w:uiPriority w:val="0"/>
    <w:rPr>
      <w:rFonts w:ascii="Arial" w:hAnsi="Arial" w:eastAsia="黑体"/>
      <w:b/>
      <w:sz w:val="32"/>
    </w:rPr>
  </w:style>
  <w:style w:type="character" w:customStyle="1" w:styleId="32">
    <w:name w:val="标题 1 Char"/>
    <w:link w:val="4"/>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11758</Words>
  <Characters>12633</Characters>
  <Lines>0</Lines>
  <Paragraphs>0</Paragraphs>
  <TotalTime>2</TotalTime>
  <ScaleCrop>false</ScaleCrop>
  <LinksUpToDate>false</LinksUpToDate>
  <CharactersWithSpaces>12879</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2025-12-19T01:23:00Z</dcterms:created>
  <dc:creator>Lili</dc:creator>
  <cp:lastModifiedBy>ysx</cp:lastModifiedBy>
  <cp:lastPrinted>2025-12-25T01:04:00Z</cp:lastPrinted>
  <dcterms:modified xsi:type="dcterms:W3CDTF">2025-12-31T07:37:01Z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B5F13EB67E5C4A399675AD3A4B421A9D_13</vt:lpwstr>
  </property>
  <property fmtid="{D5CDD505-2E9C-101B-9397-08002B2CF9AE}" pid="4" name="KSOTemplateDocerSaveRecord">
    <vt:lpwstr>eyJoZGlkIjoiODNhZGY4ZmZlNTM1NjAyYzQ0M2QxOTA4MmNiZjBmMzgiLCJ1c2VySWQiOiI2MTQ4Mzc4MDgifQ==</vt:lpwstr>
  </property>
</Properties>
</file>