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XYCG【2026】008号</w:t>
      </w:r>
    </w:p>
    <w:p>
      <w:pPr>
        <w:rPr>
          <w:rFonts w:hint="eastAsia" w:ascii="宋体"/>
          <w:b/>
          <w:color w:val="auto"/>
          <w:sz w:val="36"/>
          <w:szCs w:val="36"/>
          <w:highlight w:val="none"/>
        </w:rPr>
      </w:pPr>
    </w:p>
    <w:p>
      <w:pPr>
        <w:pStyle w:val="7"/>
        <w:spacing w:line="360" w:lineRule="auto"/>
        <w:jc w:val="center"/>
        <w:rPr>
          <w:rFonts w:hint="default"/>
          <w:color w:val="auto"/>
          <w:highlight w:val="none"/>
          <w:lang w:val="en-US"/>
        </w:rPr>
      </w:pPr>
      <w:bookmarkStart w:id="0" w:name="OLE_LINK19"/>
      <w:r>
        <w:rPr>
          <w:rFonts w:hint="eastAsia" w:ascii="宋体"/>
          <w:b/>
          <w:color w:val="auto"/>
          <w:sz w:val="52"/>
          <w:szCs w:val="52"/>
          <w:highlight w:val="none"/>
          <w:lang w:val="en-US" w:eastAsia="zh-CN"/>
        </w:rPr>
        <w:t>2026年江阳公园鲜花</w:t>
      </w:r>
      <w:r>
        <w:rPr>
          <w:rFonts w:hint="eastAsia" w:ascii="宋体" w:hAnsi="宋体" w:cs="宋体"/>
          <w:b/>
          <w:bCs/>
          <w:color w:val="auto"/>
          <w:sz w:val="52"/>
          <w:szCs w:val="52"/>
          <w:lang w:val="en-US" w:eastAsia="zh-CN"/>
        </w:rPr>
        <w:t>类采购</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ind w:firstLine="2891" w:firstLineChars="9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233737"/>
      <w:bookmarkEnd w:id="2"/>
      <w:bookmarkStart w:id="3" w:name="_Hlt101843627"/>
      <w:bookmarkEnd w:id="3"/>
      <w:bookmarkStart w:id="4" w:name="_Toc91771145"/>
      <w:bookmarkStart w:id="5" w:name="_Toc2899"/>
      <w:r>
        <w:rPr>
          <w:rFonts w:hint="eastAsia" w:ascii="黑体" w:hAnsi="黑体" w:eastAsia="黑体"/>
          <w:color w:val="auto"/>
          <w:sz w:val="36"/>
          <w:highlight w:val="none"/>
          <w:lang w:eastAsia="zh-CN"/>
        </w:rPr>
        <w:tab/>
      </w:r>
      <w:bookmarkStart w:id="6" w:name="_Toc14113"/>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_Toc14113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_Toc11181 </w:instrText>
      </w:r>
      <w:r>
        <w:rPr>
          <w:rFonts w:hint="eastAsia" w:ascii="宋体" w:hAnsi="宋体" w:eastAsia="宋体" w:cs="宋体"/>
          <w:kern w:val="2"/>
          <w:szCs w:val="24"/>
          <w:highlight w:val="none"/>
        </w:rPr>
        <w:fldChar w:fldCharType="separate"/>
      </w:r>
      <w:r>
        <w:rPr>
          <w:rFonts w:hint="eastAsia"/>
        </w:rPr>
        <w:t>第一章 询价邀请公告</w:t>
      </w:r>
      <w:r>
        <w:tab/>
      </w:r>
      <w:r>
        <w:fldChar w:fldCharType="begin"/>
      </w:r>
      <w:r>
        <w:instrText xml:space="preserve"> PAGEREF _Toc11181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_Toc2001 </w:instrText>
      </w:r>
      <w:r>
        <w:rPr>
          <w:rFonts w:hint="eastAsia" w:ascii="宋体" w:hAnsi="宋体" w:eastAsia="宋体" w:cs="宋体"/>
          <w:kern w:val="2"/>
          <w:szCs w:val="24"/>
          <w:highlight w:val="none"/>
        </w:rPr>
        <w:fldChar w:fldCharType="separate"/>
      </w:r>
      <w:r>
        <w:rPr>
          <w:rFonts w:hint="eastAsia"/>
        </w:rPr>
        <w:t>第二章 询价须知</w:t>
      </w:r>
      <w:r>
        <w:tab/>
      </w:r>
      <w:r>
        <w:fldChar w:fldCharType="begin"/>
      </w:r>
      <w:r>
        <w:instrText xml:space="preserve"> PAGEREF _Toc2001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jc w:val="left"/>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_Toc13379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_Toc13379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jc w:val="left"/>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_Toc25024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_Toc25024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_Toc8317 </w:instrText>
      </w:r>
      <w:r>
        <w:rPr>
          <w:rFonts w:hint="eastAsia" w:ascii="宋体" w:hAnsi="宋体" w:eastAsia="宋体" w:cs="宋体"/>
          <w:kern w:val="2"/>
          <w:szCs w:val="24"/>
          <w:highlight w:val="none"/>
        </w:rPr>
        <w:fldChar w:fldCharType="separate"/>
      </w:r>
      <w:r>
        <w:t>三、询价文件</w:t>
      </w:r>
      <w:r>
        <w:tab/>
      </w:r>
      <w:r>
        <w:fldChar w:fldCharType="begin"/>
      </w:r>
      <w:r>
        <w:instrText xml:space="preserve"> PAGEREF _Toc8317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_Toc12188 </w:instrText>
      </w:r>
      <w:r>
        <w:rPr>
          <w:rFonts w:hint="eastAsia" w:ascii="宋体" w:hAnsi="宋体" w:eastAsia="宋体" w:cs="宋体"/>
          <w:kern w:val="2"/>
          <w:szCs w:val="24"/>
          <w:highlight w:val="none"/>
        </w:rPr>
        <w:fldChar w:fldCharType="separate"/>
      </w:r>
      <w:r>
        <w:t>四、询价响应文件</w:t>
      </w:r>
      <w:r>
        <w:tab/>
      </w:r>
      <w:r>
        <w:fldChar w:fldCharType="begin"/>
      </w:r>
      <w:r>
        <w:instrText xml:space="preserve"> PAGEREF _Toc12188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_Toc32110 </w:instrText>
      </w:r>
      <w:r>
        <w:rPr>
          <w:rFonts w:hint="eastAsia" w:ascii="宋体" w:hAnsi="宋体" w:eastAsia="宋体" w:cs="宋体"/>
          <w:kern w:val="2"/>
          <w:szCs w:val="24"/>
          <w:highlight w:val="none"/>
        </w:rPr>
        <w:fldChar w:fldCharType="separate"/>
      </w:r>
      <w:r>
        <w:t>五、询价及评审过程</w:t>
      </w:r>
      <w:r>
        <w:tab/>
      </w:r>
      <w:r>
        <w:fldChar w:fldCharType="begin"/>
      </w:r>
      <w:r>
        <w:instrText xml:space="preserve"> PAGEREF _Toc32110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_Toc19160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_Toc19160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_Toc1188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_Toc1188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_Toc23826 </w:instrText>
      </w:r>
      <w:r>
        <w:rPr>
          <w:rFonts w:hint="eastAsia" w:ascii="宋体" w:hAnsi="宋体" w:eastAsia="宋体" w:cs="宋体"/>
          <w:kern w:val="2"/>
          <w:szCs w:val="24"/>
          <w:highlight w:val="none"/>
        </w:rPr>
        <w:fldChar w:fldCharType="separate"/>
      </w:r>
      <w:r>
        <w:t>八、询价纪律要求</w:t>
      </w:r>
      <w:r>
        <w:tab/>
      </w:r>
      <w:r>
        <w:fldChar w:fldCharType="begin"/>
      </w:r>
      <w:r>
        <w:instrText xml:space="preserve"> PAGEREF _Toc23826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_Toc16005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_Toc16005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_Toc9577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_Toc9577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_Toc11448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_Toc11448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_Toc11587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_Toc11587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_Toc2283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_Toc2283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_Toc26055 </w:instrText>
      </w:r>
      <w:r>
        <w:rPr>
          <w:rFonts w:hint="eastAsia" w:ascii="宋体" w:hAnsi="宋体" w:eastAsia="宋体" w:cs="宋体"/>
          <w:kern w:val="2"/>
          <w:szCs w:val="24"/>
          <w:highlight w:val="none"/>
        </w:rPr>
        <w:fldChar w:fldCharType="separate"/>
      </w:r>
      <w:r>
        <w:rPr>
          <w:rFonts w:hint="eastAsia"/>
        </w:rPr>
        <w:t>二、资格证明材料</w:t>
      </w:r>
      <w:r>
        <w:tab/>
      </w:r>
      <w:r>
        <w:fldChar w:fldCharType="begin"/>
      </w:r>
      <w:r>
        <w:instrText xml:space="preserve"> PAGEREF _Toc26055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_Toc7017 </w:instrText>
      </w:r>
      <w:r>
        <w:rPr>
          <w:rFonts w:hint="eastAsia" w:ascii="宋体" w:hAnsi="宋体" w:eastAsia="宋体" w:cs="宋体"/>
          <w:kern w:val="2"/>
          <w:szCs w:val="24"/>
          <w:highlight w:val="none"/>
        </w:rPr>
        <w:fldChar w:fldCharType="separate"/>
      </w:r>
      <w:r>
        <w:rPr>
          <w:rFonts w:hint="eastAsia"/>
        </w:rPr>
        <w:t>三、法定代表人</w:t>
      </w:r>
      <w:r>
        <w:rPr>
          <w:rFonts w:hint="eastAsia"/>
          <w:lang w:eastAsia="zh-CN"/>
        </w:rPr>
        <w:t>身份证明文件或</w:t>
      </w:r>
      <w:r>
        <w:rPr>
          <w:rFonts w:hint="eastAsia"/>
        </w:rPr>
        <w:t>法定代表人授权书</w:t>
      </w:r>
      <w:r>
        <w:tab/>
      </w:r>
      <w:r>
        <w:fldChar w:fldCharType="begin"/>
      </w:r>
      <w:r>
        <w:instrText xml:space="preserve"> PAGEREF _Toc7017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_Toc11492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rPr>
        <w:t>四、</w:t>
      </w:r>
      <w:r>
        <w:rPr>
          <w:rFonts w:hint="eastAsia"/>
        </w:rPr>
        <w:t>分项报价表</w:t>
      </w:r>
      <w:r>
        <w:tab/>
      </w:r>
      <w:r>
        <w:fldChar w:fldCharType="begin"/>
      </w:r>
      <w:r>
        <w:instrText xml:space="preserve"> PAGEREF _Toc11492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_Toc25145 </w:instrText>
      </w:r>
      <w:r>
        <w:rPr>
          <w:rFonts w:hint="eastAsia" w:ascii="宋体" w:hAnsi="宋体" w:eastAsia="宋体" w:cs="宋体"/>
          <w:kern w:val="2"/>
          <w:szCs w:val="24"/>
          <w:highlight w:val="none"/>
        </w:rPr>
        <w:fldChar w:fldCharType="separate"/>
      </w:r>
      <w:r>
        <w:t>五</w:t>
      </w:r>
      <w:r>
        <w:rPr>
          <w:rFonts w:hint="eastAsia"/>
        </w:rPr>
        <w:t>、承诺函</w:t>
      </w:r>
      <w:r>
        <w:tab/>
      </w:r>
      <w:r>
        <w:fldChar w:fldCharType="begin"/>
      </w:r>
      <w:r>
        <w:instrText xml:space="preserve"> PAGEREF _Toc25145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_Toc27192 </w:instrText>
      </w:r>
      <w:r>
        <w:rPr>
          <w:rFonts w:hint="eastAsia" w:ascii="宋体" w:hAnsi="宋体" w:eastAsia="宋体" w:cs="宋体"/>
          <w:kern w:val="2"/>
          <w:szCs w:val="24"/>
          <w:highlight w:val="none"/>
        </w:rPr>
        <w:fldChar w:fldCharType="separate"/>
      </w:r>
      <w:r>
        <w:t>六</w:t>
      </w:r>
      <w:r>
        <w:rPr>
          <w:rFonts w:hint="eastAsia"/>
        </w:rPr>
        <w:t>、竞标人廉洁自律承诺书</w:t>
      </w:r>
      <w:r>
        <w:tab/>
      </w:r>
      <w:r>
        <w:fldChar w:fldCharType="begin"/>
      </w:r>
      <w:r>
        <w:instrText xml:space="preserve"> PAGEREF _Toc27192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_Toc21045 </w:instrText>
      </w:r>
      <w:r>
        <w:rPr>
          <w:rFonts w:hint="eastAsia" w:ascii="宋体" w:hAnsi="宋体" w:eastAsia="宋体" w:cs="宋体"/>
          <w:kern w:val="2"/>
          <w:szCs w:val="24"/>
          <w:highlight w:val="none"/>
        </w:rPr>
        <w:fldChar w:fldCharType="separate"/>
      </w:r>
      <w:r>
        <w:rPr>
          <w:rFonts w:hint="eastAsia"/>
        </w:rPr>
        <w:t>七、供应商基本情况表</w:t>
      </w:r>
      <w:r>
        <w:tab/>
      </w:r>
      <w:r>
        <w:fldChar w:fldCharType="begin"/>
      </w:r>
      <w:r>
        <w:instrText xml:space="preserve"> PAGEREF _Toc21045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_Toc29315 </w:instrText>
      </w:r>
      <w:r>
        <w:rPr>
          <w:rFonts w:hint="eastAsia" w:ascii="宋体" w:hAnsi="宋体" w:eastAsia="宋体" w:cs="宋体"/>
          <w:kern w:val="2"/>
          <w:szCs w:val="24"/>
          <w:highlight w:val="none"/>
        </w:rPr>
        <w:fldChar w:fldCharType="separate"/>
      </w:r>
      <w:r>
        <w:rPr>
          <w:rFonts w:hint="eastAsia"/>
        </w:rPr>
        <w:t>八、供应商本项目管理、技术、服务人员情况表</w:t>
      </w:r>
      <w:r>
        <w:tab/>
      </w:r>
      <w:r>
        <w:fldChar w:fldCharType="begin"/>
      </w:r>
      <w:r>
        <w:instrText xml:space="preserve"> PAGEREF _Toc29315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_Toc16437 </w:instrText>
      </w:r>
      <w:r>
        <w:rPr>
          <w:rFonts w:hint="eastAsia" w:ascii="宋体" w:hAnsi="宋体" w:eastAsia="宋体" w:cs="宋体"/>
          <w:kern w:val="2"/>
          <w:szCs w:val="24"/>
          <w:highlight w:val="none"/>
        </w:rPr>
        <w:fldChar w:fldCharType="separate"/>
      </w:r>
      <w:r>
        <w:rPr>
          <w:rFonts w:hint="eastAsia"/>
        </w:rPr>
        <w:t>九、商务、技术、服务要求应答表</w:t>
      </w:r>
      <w:r>
        <w:tab/>
      </w:r>
      <w:r>
        <w:fldChar w:fldCharType="begin"/>
      </w:r>
      <w:r>
        <w:instrText xml:space="preserve"> PAGEREF _Toc16437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_Toc11862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_Toc11862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_Toc26765 </w:instrText>
      </w:r>
      <w:r>
        <w:rPr>
          <w:rFonts w:hint="eastAsia" w:ascii="宋体" w:hAnsi="宋体" w:eastAsia="宋体" w:cs="宋体"/>
          <w:kern w:val="2"/>
          <w:szCs w:val="24"/>
          <w:highlight w:val="none"/>
        </w:rPr>
        <w:fldChar w:fldCharType="separate"/>
      </w:r>
      <w:r>
        <w:t>第</w:t>
      </w:r>
      <w:r>
        <w:rPr>
          <w:rFonts w:hint="eastAsia"/>
          <w:lang w:val="en-US" w:eastAsia="zh-CN"/>
        </w:rPr>
        <w:t>六</w:t>
      </w:r>
      <w:r>
        <w:t>章</w:t>
      </w:r>
      <w:r>
        <w:rPr>
          <w:rFonts w:hint="eastAsia"/>
        </w:rPr>
        <w:t xml:space="preserve"> </w:t>
      </w:r>
      <w:r>
        <w:t>评审方法</w:t>
      </w:r>
      <w:r>
        <w:tab/>
      </w:r>
      <w:r>
        <w:fldChar w:fldCharType="begin"/>
      </w:r>
      <w:r>
        <w:instrText xml:space="preserve"> PAGEREF _Toc26765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_Toc25053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_Toc25053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_Toc19327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_Toc19327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_Toc26003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_Toc26003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_Toc19293 </w:instrText>
      </w:r>
      <w:r>
        <w:rPr>
          <w:rFonts w:hint="eastAsia" w:ascii="宋体" w:hAnsi="宋体" w:eastAsia="宋体" w:cs="宋体"/>
          <w:kern w:val="2"/>
          <w:szCs w:val="24"/>
          <w:highlight w:val="none"/>
        </w:rPr>
        <w:fldChar w:fldCharType="separate"/>
      </w:r>
      <w:r>
        <w:rPr>
          <w:rFonts w:hint="eastAsia"/>
          <w:lang w:val="en-US" w:eastAsia="zh-CN"/>
        </w:rPr>
        <w:t xml:space="preserve">第七章  </w:t>
      </w:r>
      <w:r>
        <w:rPr>
          <w:rFonts w:hint="eastAsia"/>
        </w:rPr>
        <w:t>采购合同（草案）</w:t>
      </w:r>
      <w:r>
        <w:tab/>
      </w:r>
      <w:r>
        <w:fldChar w:fldCharType="begin"/>
      </w:r>
      <w:r>
        <w:instrText xml:space="preserve"> PAGEREF _Toc19293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p>
    <w:p>
      <w:pPr>
        <w:pStyle w:val="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7" w:name="_Toc11181"/>
      <w:bookmarkStart w:id="8" w:name="_Toc91771146"/>
      <w:r>
        <w:rPr>
          <w:rStyle w:val="40"/>
          <w:rFonts w:hint="eastAsia" w:ascii="黑体" w:hAnsi="黑体" w:eastAsia="黑体" w:cs="黑体"/>
          <w:sz w:val="36"/>
          <w:szCs w:val="36"/>
        </w:rPr>
        <w:t>第一章 询价邀请公告</w:t>
      </w:r>
      <w:bookmarkEnd w:id="7"/>
      <w:bookmarkEnd w:id="8"/>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eastAsia="宋体" w:cs="宋体"/>
          <w:color w:val="auto"/>
          <w:sz w:val="24"/>
          <w:szCs w:val="24"/>
          <w:u w:val="single"/>
          <w:lang w:val="en-US" w:eastAsia="zh-CN"/>
        </w:rPr>
        <w:t>2026年江阳公园鲜花采</w:t>
      </w:r>
      <w:r>
        <w:rPr>
          <w:rFonts w:hint="eastAsia" w:ascii="宋体" w:hAnsi="宋体" w:cs="宋体"/>
          <w:color w:val="auto"/>
          <w:sz w:val="24"/>
          <w:szCs w:val="24"/>
          <w:u w:val="single"/>
          <w:lang w:val="en-US" w:eastAsia="zh-CN"/>
        </w:rPr>
        <w:t>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XYCG【2025】008号</w:t>
      </w:r>
      <w:r>
        <w:rPr>
          <w:color w:val="auto"/>
          <w:sz w:val="24"/>
          <w:highlight w:val="none"/>
        </w:rPr>
        <w:t>。</w:t>
      </w:r>
    </w:p>
    <w:p>
      <w:pPr>
        <w:spacing w:line="360" w:lineRule="auto"/>
        <w:ind w:firstLine="480" w:firstLineChars="200"/>
        <w:rPr>
          <w:rFonts w:ascii="Times New Roman" w:hAnsi="Times New Roman" w:eastAsia="宋体" w:cs="Times New Roman"/>
          <w:color w:val="auto"/>
          <w:sz w:val="24"/>
          <w:highlight w:val="none"/>
        </w:rPr>
      </w:pPr>
      <w:r>
        <w:rPr>
          <w:color w:val="auto"/>
          <w:sz w:val="24"/>
          <w:highlight w:val="none"/>
        </w:rPr>
        <w:t>2.采购项目名称：</w:t>
      </w:r>
      <w:r>
        <w:rPr>
          <w:rFonts w:hint="eastAsia" w:ascii="Times New Roman" w:hAnsi="Times New Roman" w:eastAsia="宋体" w:cs="Times New Roman"/>
          <w:color w:val="auto"/>
          <w:sz w:val="24"/>
          <w:highlight w:val="none"/>
          <w:lang w:val="en-US" w:eastAsia="zh-CN"/>
        </w:rPr>
        <w:t>2026年江阳公园鲜花采购</w:t>
      </w:r>
      <w:r>
        <w:rPr>
          <w:rFonts w:ascii="Times New Roman" w:hAnsi="Times New Roman" w:eastAsia="宋体" w:cs="Times New Roman"/>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之日起5</w:t>
      </w:r>
      <w:r>
        <w:rPr>
          <w:rFonts w:hint="eastAsia" w:hAnsi="宋体" w:cs="宋体"/>
          <w:b w:val="0"/>
          <w:bCs/>
          <w:sz w:val="24"/>
        </w:rPr>
        <w:t>日内</w:t>
      </w:r>
      <w:r>
        <w:rPr>
          <w:rFonts w:hint="eastAsia" w:cs="宋体"/>
          <w:b w:val="0"/>
          <w:bCs/>
          <w:sz w:val="24"/>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cs="宋体"/>
          <w:b w:val="0"/>
          <w:bCs w:val="0"/>
          <w:color w:val="auto"/>
          <w:sz w:val="24"/>
          <w:szCs w:val="24"/>
          <w:highlight w:val="none"/>
          <w:lang w:val="en-US" w:eastAsia="zh-CN"/>
        </w:rPr>
        <w:t>92400</w:t>
      </w:r>
      <w:r>
        <w:rPr>
          <w:b w:val="0"/>
          <w:bCs w:val="0"/>
          <w:color w:val="auto"/>
          <w:sz w:val="24"/>
          <w:szCs w:val="24"/>
          <w:highlight w:val="none"/>
        </w:rPr>
        <w:t>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w:t>
      </w:r>
      <w:r>
        <w:rPr>
          <w:rFonts w:hint="eastAsia" w:ascii="Times New Roman" w:hAnsi="Times New Roman" w:eastAsia="宋体" w:cs="Times New Roman"/>
          <w:color w:val="auto"/>
          <w:sz w:val="24"/>
          <w:highlight w:val="none"/>
          <w:lang w:val="en-US" w:eastAsia="zh-CN"/>
        </w:rPr>
        <w:t>江阳公园花坛及花箱鲜花进行更换，更换面积为208平方米，每次更换鲜花按面积计算约需15000株，全年预估更换约6次，总费用预计92400元，</w:t>
      </w:r>
      <w:r>
        <w:rPr>
          <w:rFonts w:hint="eastAsia" w:hAnsi="宋体"/>
          <w:b w:val="0"/>
          <w:bCs w:val="0"/>
          <w:sz w:val="24"/>
          <w:szCs w:val="24"/>
          <w:lang w:val="en-US" w:eastAsia="zh-CN"/>
        </w:rPr>
        <w:t>服务期限为1年。</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8"/>
        <w:ind w:firstLine="600" w:firstLineChars="250"/>
        <w:rPr>
          <w:color w:val="auto"/>
          <w:sz w:val="24"/>
          <w:highlight w:val="none"/>
        </w:rPr>
      </w:pPr>
      <w:r>
        <w:rPr>
          <w:color w:val="auto"/>
          <w:sz w:val="24"/>
          <w:highlight w:val="none"/>
        </w:rPr>
        <w:t>1.具有独立承担民事责任的能力；</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8"/>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w:t>
      </w:r>
      <w:r>
        <w:rPr>
          <w:rFonts w:hint="eastAsia" w:ascii="宋体" w:hAnsi="宋体" w:cs="宋体"/>
          <w:b w:val="0"/>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19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7"/>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8"/>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8"/>
        <w:ind w:firstLine="480"/>
        <w:rPr>
          <w:rFonts w:hint="default" w:eastAsia="宋体"/>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李先生</w:t>
      </w:r>
    </w:p>
    <w:p>
      <w:pPr>
        <w:pStyle w:val="28"/>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0830-6661300</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 xml:space="preserve">      </w:t>
      </w:r>
    </w:p>
    <w:p>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9" w:name="OLE_LINK4"/>
      <w:r>
        <w:rPr>
          <w:rFonts w:hint="eastAsia" w:ascii="宋体" w:hAnsi="宋体" w:eastAsia="宋体" w:cs="宋体"/>
          <w:color w:val="auto"/>
          <w:sz w:val="24"/>
          <w:highlight w:val="none"/>
          <w:lang w:val="en-US" w:eastAsia="zh-CN"/>
        </w:rPr>
        <w:t>6523011</w:t>
      </w:r>
      <w:bookmarkEnd w:id="9"/>
    </w:p>
    <w:p>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13</w:t>
      </w:r>
      <w:r>
        <w:rPr>
          <w:rFonts w:hint="eastAsia" w:ascii="宋体" w:hAnsi="宋体" w:eastAsia="宋体" w:cs="宋体"/>
          <w:color w:val="auto"/>
          <w:sz w:val="24"/>
          <w:szCs w:val="24"/>
          <w:highlight w:val="none"/>
        </w:rPr>
        <w:t>日</w:t>
      </w:r>
      <w:bookmarkStart w:id="106" w:name="_GoBack"/>
      <w:bookmarkEnd w:id="106"/>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91771147"/>
      <w:bookmarkStart w:id="11" w:name="_Toc2001"/>
      <w:r>
        <w:rPr>
          <w:rStyle w:val="40"/>
          <w:rFonts w:hint="eastAsia" w:ascii="黑体" w:hAnsi="黑体" w:eastAsia="黑体" w:cs="黑体"/>
          <w:sz w:val="36"/>
          <w:szCs w:val="36"/>
        </w:rPr>
        <w:t>第二章 询价须知</w:t>
      </w:r>
      <w:bookmarkEnd w:id="10"/>
      <w:bookmarkEnd w:id="11"/>
    </w:p>
    <w:p>
      <w:pPr>
        <w:spacing w:after="240" w:afterLines="100"/>
        <w:jc w:val="center"/>
        <w:outlineLvl w:val="1"/>
        <w:rPr>
          <w:rFonts w:hint="eastAsia" w:ascii="宋体" w:hAnsi="宋体"/>
          <w:b/>
          <w:color w:val="auto"/>
          <w:sz w:val="32"/>
          <w:highlight w:val="none"/>
        </w:rPr>
      </w:pPr>
      <w:bookmarkStart w:id="12" w:name="_Toc13379"/>
      <w:bookmarkStart w:id="13" w:name="_Toc91771148"/>
      <w:r>
        <w:rPr>
          <w:rFonts w:hint="eastAsia" w:ascii="宋体" w:hAnsi="宋体"/>
          <w:b/>
          <w:color w:val="auto"/>
          <w:sz w:val="32"/>
          <w:highlight w:val="none"/>
        </w:rPr>
        <w:t>一、供应商须知前附表</w:t>
      </w:r>
      <w:bookmarkEnd w:id="12"/>
      <w:bookmarkEnd w:id="13"/>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9"/>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采购预算</w:t>
            </w:r>
          </w:p>
          <w:p>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s="宋体"/>
                <w:b w:val="0"/>
                <w:bCs w:val="0"/>
                <w:color w:val="auto"/>
                <w:sz w:val="24"/>
                <w:szCs w:val="24"/>
                <w:highlight w:val="none"/>
                <w:lang w:val="en-US" w:eastAsia="zh-CN"/>
              </w:rPr>
              <w:t>92400</w:t>
            </w:r>
            <w:r>
              <w:rPr>
                <w:b w:val="0"/>
                <w:bCs w:val="0"/>
                <w:color w:val="auto"/>
                <w:sz w:val="24"/>
                <w:szCs w:val="24"/>
                <w:highlight w:val="none"/>
              </w:rPr>
              <w:t>元</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最高限价</w:t>
            </w:r>
          </w:p>
          <w:p>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9"/>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最高限价：</w:t>
            </w:r>
            <w:r>
              <w:rPr>
                <w:rFonts w:hint="eastAsia" w:cs="宋体"/>
                <w:b w:val="0"/>
                <w:bCs w:val="0"/>
                <w:color w:val="auto"/>
                <w:sz w:val="24"/>
                <w:szCs w:val="24"/>
                <w:highlight w:val="none"/>
                <w:lang w:val="en-US" w:eastAsia="zh-CN"/>
              </w:rPr>
              <w:t>92400</w:t>
            </w:r>
            <w:r>
              <w:rPr>
                <w:b w:val="0"/>
                <w:bCs w:val="0"/>
                <w:color w:val="auto"/>
                <w:sz w:val="24"/>
                <w:szCs w:val="24"/>
                <w:highlight w:val="none"/>
              </w:rPr>
              <w:t>元</w:t>
            </w:r>
            <w:r>
              <w:rPr>
                <w:rFonts w:hint="eastAsia"/>
                <w:b w:val="0"/>
                <w:bCs w:val="0"/>
                <w:color w:val="auto"/>
                <w:sz w:val="24"/>
                <w:szCs w:val="24"/>
                <w:highlight w:val="none"/>
                <w:lang w:eastAsia="zh-CN"/>
              </w:rPr>
              <w:t>；</w:t>
            </w:r>
          </w:p>
          <w:p>
            <w:pPr>
              <w:pStyle w:val="29"/>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4" w:name="OLE_LINK1"/>
            <w:r>
              <w:rPr>
                <w:rFonts w:hint="eastAsia"/>
                <w:b/>
                <w:bCs/>
                <w:color w:val="auto"/>
                <w:highlight w:val="none"/>
                <w:lang w:eastAsia="zh-CN"/>
              </w:rPr>
              <w:t>☑</w:t>
            </w:r>
            <w:bookmarkEnd w:id="14"/>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1"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9"/>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9"/>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9"/>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9"/>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9"/>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9"/>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9"/>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w:t>
            </w:r>
            <w:r>
              <w:rPr>
                <w:rFonts w:hint="eastAsia"/>
                <w:color w:val="auto"/>
                <w:highlight w:val="none"/>
                <w:lang w:bidi="ar"/>
              </w:rPr>
              <w:t>整）</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5"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5"/>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2026年江阳公园鲜花采购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9"/>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李先生</w:t>
            </w:r>
            <w:r>
              <w:rPr>
                <w:rFonts w:hint="eastAsia"/>
                <w:color w:val="auto"/>
                <w:highlight w:val="none"/>
              </w:rPr>
              <w:t xml:space="preserve"> </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pPr>
              <w:pStyle w:val="29"/>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9"/>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6" w:name="OLE_LINK3"/>
            <w:r>
              <w:rPr>
                <w:rFonts w:hint="eastAsia"/>
                <w:b/>
                <w:bCs/>
                <w:color w:val="auto"/>
                <w:highlight w:val="none"/>
                <w:lang w:eastAsia="zh-CN"/>
              </w:rPr>
              <w:t>☑</w:t>
            </w:r>
            <w:bookmarkEnd w:id="16"/>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9"/>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9"/>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9"/>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9"/>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1"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spacing w:line="300" w:lineRule="auto"/>
              <w:ind w:firstLine="210" w:firstLineChars="100"/>
              <w:rPr>
                <w:rFonts w:hint="eastAsia" w:ascii="宋体" w:hAnsi="宋体" w:cs="宋体"/>
                <w:color w:val="auto"/>
                <w:kern w:val="0"/>
                <w:sz w:val="24"/>
                <w:highlight w:val="none"/>
              </w:rPr>
            </w:pPr>
            <w:r>
              <w:rPr>
                <w:rFonts w:hint="eastAsia"/>
                <w:color w:val="auto"/>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pPr>
              <w:pStyle w:val="29"/>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pPr>
              <w:pStyle w:val="29"/>
              <w:spacing w:line="300" w:lineRule="auto"/>
              <w:ind w:firstLine="240" w:firstLineChars="100"/>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p>
          <w:p>
            <w:pPr>
              <w:pStyle w:val="29"/>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4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8"/>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color w:val="auto"/>
                <w:sz w:val="24"/>
                <w:highlight w:val="none"/>
                <w:lang w:val="en-US" w:eastAsia="zh-CN"/>
              </w:rPr>
              <w:t>202</w:t>
            </w:r>
            <w:r>
              <w:rPr>
                <w:rFonts w:hint="eastAsia" w:ascii="宋体" w:hAnsi="宋体" w:cs="宋体"/>
                <w:b w:val="0"/>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19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之日起5</w:t>
            </w:r>
            <w:r>
              <w:rPr>
                <w:rFonts w:hint="eastAsia" w:hAnsi="宋体" w:cs="宋体"/>
                <w:b w:val="0"/>
                <w:bCs/>
                <w:sz w:val="24"/>
              </w:rPr>
              <w:t>日内</w:t>
            </w:r>
            <w:r>
              <w:rPr>
                <w:rFonts w:hint="eastAsia" w:cs="宋体"/>
                <w:b w:val="0"/>
                <w:bCs/>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91771149"/>
      <w:bookmarkStart w:id="18" w:name="_Toc25024"/>
      <w:r>
        <w:rPr>
          <w:rStyle w:val="40"/>
          <w:rFonts w:hint="eastAsia"/>
          <w:sz w:val="36"/>
          <w:szCs w:val="36"/>
        </w:rPr>
        <w:t>二、总则</w:t>
      </w:r>
      <w:bookmarkEnd w:id="17"/>
      <w:bookmarkEnd w:id="18"/>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3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3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2"/>
        <w:bidi w:val="0"/>
        <w:jc w:val="center"/>
        <w:rPr>
          <w:rFonts w:hint="eastAsia" w:ascii="黑体" w:hAnsi="黑体" w:eastAsia="黑体" w:cs="黑体"/>
          <w:sz w:val="36"/>
          <w:szCs w:val="36"/>
        </w:rPr>
      </w:pPr>
      <w:bookmarkStart w:id="19" w:name="_Toc91771150"/>
      <w:bookmarkStart w:id="20" w:name="_Toc8317"/>
      <w:r>
        <w:rPr>
          <w:rFonts w:hint="eastAsia" w:ascii="黑体" w:hAnsi="黑体" w:eastAsia="黑体" w:cs="黑体"/>
          <w:sz w:val="36"/>
          <w:szCs w:val="36"/>
        </w:rPr>
        <w:t>三、询价文件</w:t>
      </w:r>
      <w:bookmarkEnd w:id="19"/>
      <w:bookmarkEnd w:id="20"/>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2"/>
        <w:bidi w:val="0"/>
        <w:jc w:val="center"/>
        <w:rPr>
          <w:rFonts w:hint="eastAsia" w:ascii="黑体" w:hAnsi="黑体" w:eastAsia="黑体" w:cs="黑体"/>
          <w:b/>
          <w:bCs w:val="0"/>
          <w:sz w:val="36"/>
          <w:szCs w:val="36"/>
        </w:rPr>
      </w:pPr>
      <w:bookmarkStart w:id="21" w:name="_Toc12188"/>
      <w:bookmarkStart w:id="22" w:name="_Toc91771151"/>
      <w:r>
        <w:rPr>
          <w:rFonts w:hint="eastAsia" w:ascii="黑体" w:hAnsi="黑体" w:eastAsia="黑体" w:cs="黑体"/>
          <w:b/>
          <w:bCs w:val="0"/>
          <w:sz w:val="36"/>
          <w:szCs w:val="36"/>
        </w:rPr>
        <w:t>四、询价响应文件</w:t>
      </w:r>
      <w:bookmarkEnd w:id="21"/>
      <w:bookmarkEnd w:id="22"/>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2"/>
        <w:bidi w:val="0"/>
        <w:jc w:val="center"/>
        <w:rPr>
          <w:rFonts w:hint="eastAsia" w:ascii="黑体" w:hAnsi="黑体" w:eastAsia="黑体" w:cs="黑体"/>
          <w:sz w:val="36"/>
          <w:szCs w:val="36"/>
        </w:rPr>
      </w:pPr>
      <w:bookmarkStart w:id="23" w:name="_Toc32110"/>
      <w:bookmarkStart w:id="24" w:name="_Toc91771152"/>
      <w:r>
        <w:rPr>
          <w:rFonts w:hint="eastAsia" w:ascii="黑体" w:hAnsi="黑体" w:eastAsia="黑体" w:cs="黑体"/>
          <w:sz w:val="36"/>
          <w:szCs w:val="36"/>
        </w:rPr>
        <w:t>五、询价及评审过程</w:t>
      </w:r>
      <w:bookmarkEnd w:id="23"/>
      <w:bookmarkEnd w:id="24"/>
    </w:p>
    <w:p>
      <w:pPr>
        <w:spacing w:line="360" w:lineRule="auto"/>
        <w:rPr>
          <w:b/>
          <w:color w:val="auto"/>
          <w:sz w:val="24"/>
          <w:highlight w:val="none"/>
        </w:rPr>
      </w:pPr>
      <w:r>
        <w:rPr>
          <w:b/>
          <w:color w:val="auto"/>
          <w:sz w:val="24"/>
          <w:highlight w:val="none"/>
        </w:rPr>
        <w:t>22. 询价小组的组建按本文件第六章的规定进行。</w:t>
      </w:r>
    </w:p>
    <w:p>
      <w:pPr>
        <w:pStyle w:val="2"/>
        <w:bidi w:val="0"/>
        <w:jc w:val="center"/>
        <w:rPr>
          <w:rFonts w:hint="eastAsia" w:ascii="黑体" w:hAnsi="黑体" w:eastAsia="黑体" w:cs="黑体"/>
          <w:b/>
          <w:bCs w:val="0"/>
          <w:sz w:val="36"/>
          <w:szCs w:val="36"/>
        </w:rPr>
      </w:pPr>
      <w:bookmarkStart w:id="25" w:name="_Toc19160"/>
      <w:bookmarkStart w:id="26" w:name="_Toc91771153"/>
      <w:r>
        <w:rPr>
          <w:rFonts w:hint="eastAsia" w:ascii="黑体" w:hAnsi="黑体" w:eastAsia="黑体" w:cs="黑体"/>
          <w:b/>
          <w:bCs w:val="0"/>
          <w:sz w:val="36"/>
          <w:szCs w:val="36"/>
        </w:rPr>
        <w:t>六、成交事项</w:t>
      </w:r>
      <w:bookmarkEnd w:id="25"/>
      <w:bookmarkEnd w:id="26"/>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2"/>
        <w:bidi w:val="0"/>
        <w:jc w:val="center"/>
        <w:rPr>
          <w:rFonts w:hint="eastAsia" w:ascii="黑体" w:hAnsi="黑体" w:eastAsia="黑体" w:cs="黑体"/>
          <w:sz w:val="36"/>
          <w:szCs w:val="36"/>
        </w:rPr>
      </w:pPr>
      <w:bookmarkStart w:id="27" w:name="_Toc1188"/>
      <w:bookmarkStart w:id="28" w:name="_Toc91771154"/>
      <w:r>
        <w:rPr>
          <w:rFonts w:hint="eastAsia" w:ascii="黑体" w:hAnsi="黑体" w:eastAsia="黑体" w:cs="黑体"/>
          <w:sz w:val="36"/>
          <w:szCs w:val="36"/>
        </w:rPr>
        <w:t>七、合同事项</w:t>
      </w:r>
      <w:bookmarkEnd w:id="27"/>
      <w:bookmarkEnd w:id="28"/>
    </w:p>
    <w:p>
      <w:pPr>
        <w:spacing w:line="360" w:lineRule="auto"/>
        <w:rPr>
          <w:b/>
          <w:color w:val="auto"/>
          <w:sz w:val="24"/>
          <w:highlight w:val="none"/>
        </w:rPr>
      </w:pPr>
      <w:bookmarkStart w:id="29" w:name="_Toc101250646"/>
      <w:bookmarkStart w:id="30" w:name="_Toc209847069"/>
      <w:bookmarkStart w:id="31" w:name="_Toc430773927"/>
      <w:bookmarkStart w:id="32" w:name="_Toc101174151"/>
      <w:bookmarkStart w:id="33" w:name="_Toc101338364"/>
      <w:r>
        <w:rPr>
          <w:b/>
          <w:color w:val="auto"/>
          <w:sz w:val="24"/>
          <w:highlight w:val="none"/>
        </w:rPr>
        <w:t>25.签订合同</w:t>
      </w:r>
      <w:bookmarkEnd w:id="29"/>
      <w:bookmarkEnd w:id="30"/>
      <w:bookmarkEnd w:id="31"/>
      <w:bookmarkEnd w:id="32"/>
      <w:bookmarkEnd w:id="33"/>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pStyle w:val="2"/>
        <w:bidi w:val="0"/>
        <w:jc w:val="center"/>
        <w:rPr>
          <w:rFonts w:hint="eastAsia" w:ascii="黑体" w:hAnsi="黑体" w:eastAsia="黑体" w:cs="黑体"/>
          <w:sz w:val="36"/>
          <w:szCs w:val="36"/>
        </w:rPr>
      </w:pPr>
      <w:bookmarkStart w:id="34" w:name="_Toc23826"/>
      <w:bookmarkStart w:id="35" w:name="_Toc91771155"/>
      <w:r>
        <w:rPr>
          <w:rFonts w:hint="eastAsia" w:ascii="黑体" w:hAnsi="黑体" w:eastAsia="黑体" w:cs="黑体"/>
          <w:sz w:val="36"/>
          <w:szCs w:val="36"/>
        </w:rPr>
        <w:t>八、询价纪律要求</w:t>
      </w:r>
      <w:bookmarkEnd w:id="34"/>
      <w:bookmarkEnd w:id="3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2"/>
        <w:bidi w:val="0"/>
        <w:jc w:val="center"/>
        <w:rPr>
          <w:rFonts w:hint="eastAsia" w:ascii="黑体" w:hAnsi="黑体" w:eastAsia="黑体" w:cs="黑体"/>
          <w:sz w:val="36"/>
          <w:szCs w:val="36"/>
        </w:rPr>
      </w:pPr>
      <w:bookmarkStart w:id="36" w:name="_Toc16005"/>
      <w:bookmarkStart w:id="37" w:name="_Toc91771156"/>
      <w:r>
        <w:rPr>
          <w:rFonts w:hint="eastAsia" w:ascii="黑体" w:hAnsi="黑体" w:eastAsia="黑体" w:cs="黑体"/>
          <w:sz w:val="36"/>
          <w:szCs w:val="36"/>
        </w:rPr>
        <w:t>九、询问、质疑和投诉</w:t>
      </w:r>
      <w:bookmarkEnd w:id="36"/>
      <w:bookmarkEnd w:id="3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2"/>
        <w:bidi w:val="0"/>
        <w:jc w:val="center"/>
        <w:rPr>
          <w:rFonts w:hint="eastAsia" w:ascii="黑体" w:hAnsi="黑体" w:eastAsia="黑体" w:cs="黑体"/>
          <w:sz w:val="36"/>
          <w:szCs w:val="36"/>
        </w:rPr>
      </w:pPr>
      <w:bookmarkStart w:id="38" w:name="_Toc9577"/>
      <w:bookmarkStart w:id="39" w:name="_Toc91771157"/>
      <w:r>
        <w:rPr>
          <w:rFonts w:hint="eastAsia" w:ascii="黑体" w:hAnsi="黑体" w:eastAsia="黑体" w:cs="黑体"/>
          <w:sz w:val="36"/>
          <w:szCs w:val="36"/>
        </w:rPr>
        <w:t>十、其他</w:t>
      </w:r>
      <w:bookmarkEnd w:id="38"/>
      <w:bookmarkEnd w:id="39"/>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0" w:name="_Toc183582232"/>
      <w:bookmarkStart w:id="41" w:name="_Toc183682369"/>
      <w:bookmarkStart w:id="42" w:name="_Toc217446057"/>
      <w:r>
        <w:rPr>
          <w:rFonts w:ascii="黑体" w:hAnsi="黑体" w:eastAsia="黑体"/>
          <w:color w:val="auto"/>
          <w:sz w:val="36"/>
          <w:highlight w:val="none"/>
        </w:rPr>
        <w:br w:type="page"/>
      </w:r>
      <w:bookmarkStart w:id="43" w:name="_Toc11448"/>
      <w:bookmarkStart w:id="44" w:name="_Toc91771158"/>
      <w:r>
        <w:rPr>
          <w:rStyle w:val="40"/>
          <w:rFonts w:hint="eastAsia" w:ascii="黑体" w:hAnsi="黑体" w:eastAsia="黑体" w:cs="黑体"/>
          <w:b/>
          <w:bCs w:val="0"/>
          <w:sz w:val="36"/>
          <w:szCs w:val="36"/>
        </w:rPr>
        <w:t>第三章 项目技术、服务及商务要求</w:t>
      </w:r>
      <w:bookmarkEnd w:id="43"/>
      <w:bookmarkEnd w:id="44"/>
    </w:p>
    <w:p>
      <w:pPr>
        <w:outlineLvl w:val="1"/>
        <w:rPr>
          <w:rFonts w:hint="eastAsia" w:ascii="宋体" w:hAnsi="宋体"/>
          <w:b/>
          <w:color w:val="auto"/>
          <w:sz w:val="32"/>
          <w:highlight w:val="none"/>
        </w:rPr>
      </w:pPr>
      <w:bookmarkStart w:id="45" w:name="_Toc2499"/>
      <w:bookmarkStart w:id="46" w:name="_Toc91771159"/>
      <w:r>
        <w:rPr>
          <w:rFonts w:hint="eastAsia" w:ascii="宋体" w:hAnsi="宋体"/>
          <w:b/>
          <w:color w:val="auto"/>
          <w:sz w:val="32"/>
          <w:highlight w:val="none"/>
        </w:rPr>
        <w:t>一、项目概况</w:t>
      </w:r>
      <w:bookmarkEnd w:id="45"/>
      <w:bookmarkEnd w:id="46"/>
    </w:p>
    <w:p>
      <w:pPr>
        <w:spacing w:after="120" w:line="360" w:lineRule="auto"/>
        <w:ind w:firstLine="480" w:firstLineChars="200"/>
        <w:rPr>
          <w:color w:val="auto"/>
          <w:sz w:val="24"/>
          <w:szCs w:val="28"/>
          <w:highlight w:val="none"/>
        </w:rPr>
      </w:pPr>
      <w:bookmarkStart w:id="47" w:name="_Toc91771163"/>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w:t>
      </w:r>
      <w:r>
        <w:rPr>
          <w:rFonts w:hint="eastAsia" w:ascii="Times New Roman" w:hAnsi="Times New Roman" w:eastAsia="宋体" w:cs="Times New Roman"/>
          <w:color w:val="auto"/>
          <w:sz w:val="24"/>
          <w:highlight w:val="none"/>
          <w:lang w:val="en-US" w:eastAsia="zh-CN"/>
        </w:rPr>
        <w:t>江阳公园花坛及花箱鲜花进行更换，更换面积为208平方米，每次更换鲜花按面积计算约需15000株，全年预估更换约6次，总费用预计92400元，</w:t>
      </w:r>
      <w:r>
        <w:rPr>
          <w:rFonts w:hint="eastAsia" w:hAnsi="宋体"/>
          <w:b w:val="0"/>
          <w:bCs w:val="0"/>
          <w:sz w:val="24"/>
          <w:szCs w:val="24"/>
          <w:lang w:val="en-US" w:eastAsia="zh-CN"/>
        </w:rPr>
        <w:t>服务期限为1年。</w:t>
      </w:r>
    </w:p>
    <w:p>
      <w:pPr>
        <w:numPr>
          <w:ilvl w:val="0"/>
          <w:numId w:val="1"/>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采购清单及单价限价</w:t>
      </w:r>
    </w:p>
    <w:p>
      <w:pPr>
        <w:rPr>
          <w:sz w:val="24"/>
          <w:szCs w:val="24"/>
        </w:rPr>
      </w:pPr>
    </w:p>
    <w:tbl>
      <w:tblPr>
        <w:tblStyle w:val="21"/>
        <w:tblW w:w="9585"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8"/>
        <w:gridCol w:w="1113"/>
        <w:gridCol w:w="1291"/>
        <w:gridCol w:w="685"/>
        <w:gridCol w:w="970"/>
        <w:gridCol w:w="1418"/>
        <w:gridCol w:w="1723"/>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5" w:type="dxa"/>
            <w:gridSpan w:val="8"/>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2026年江阳公园鲜花采购清单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品牌规格</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r>
              <w:rPr>
                <w:rFonts w:hint="eastAsia" w:ascii="宋体" w:hAnsi="宋体" w:cs="宋体"/>
                <w:i w:val="0"/>
                <w:iCs w:val="0"/>
                <w:color w:val="auto"/>
                <w:kern w:val="0"/>
                <w:sz w:val="24"/>
                <w:szCs w:val="24"/>
                <w:u w:val="none"/>
                <w:lang w:val="en-US" w:eastAsia="zh-CN" w:bidi="ar"/>
              </w:rPr>
              <w:t>限价</w:t>
            </w:r>
            <w:r>
              <w:rPr>
                <w:rFonts w:hint="eastAsia" w:ascii="宋体" w:hAnsi="宋体" w:eastAsia="宋体" w:cs="宋体"/>
                <w:i w:val="0"/>
                <w:iCs w:val="0"/>
                <w:color w:val="auto"/>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总价</w:t>
            </w:r>
            <w:r>
              <w:rPr>
                <w:rFonts w:hint="eastAsia" w:ascii="宋体" w:hAnsi="宋体" w:cs="宋体"/>
                <w:i w:val="0"/>
                <w:iCs w:val="0"/>
                <w:color w:val="auto"/>
                <w:kern w:val="0"/>
                <w:sz w:val="24"/>
                <w:szCs w:val="24"/>
                <w:u w:val="none"/>
                <w:lang w:val="en-US" w:eastAsia="zh-CN" w:bidi="ar"/>
              </w:rPr>
              <w:t>合计限价</w:t>
            </w:r>
            <w:r>
              <w:rPr>
                <w:rFonts w:hint="eastAsia" w:ascii="宋体" w:hAnsi="宋体" w:eastAsia="宋体" w:cs="宋体"/>
                <w:i w:val="0"/>
                <w:iCs w:val="0"/>
                <w:color w:val="auto"/>
                <w:kern w:val="0"/>
                <w:sz w:val="24"/>
                <w:szCs w:val="24"/>
                <w:u w:val="none"/>
                <w:lang w:val="en-US" w:eastAsia="zh-CN" w:bidi="ar"/>
              </w:rPr>
              <w:t>（元）</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22500</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26400</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pStyle w:val="7"/>
        <w:rPr>
          <w:rFonts w:hint="eastAsia"/>
          <w:lang w:val="en-US" w:eastAsia="zh-CN"/>
        </w:rPr>
      </w:pPr>
    </w:p>
    <w:p>
      <w:pPr>
        <w:numPr>
          <w:ilvl w:val="0"/>
          <w:numId w:val="0"/>
        </w:numPr>
        <w:spacing w:line="360" w:lineRule="auto"/>
        <w:ind w:leftChars="200"/>
        <w:rPr>
          <w:rFonts w:hint="eastAsia" w:ascii="宋体" w:hAnsi="宋体" w:eastAsia="宋体" w:cs="宋体"/>
          <w:b/>
          <w:bCs/>
          <w:sz w:val="32"/>
          <w:szCs w:val="32"/>
        </w:rPr>
      </w:pPr>
      <w:r>
        <w:rPr>
          <w:rFonts w:hint="eastAsia" w:ascii="宋体" w:hAnsi="宋体" w:eastAsia="宋体" w:cs="宋体"/>
          <w:color w:val="auto"/>
          <w:sz w:val="32"/>
          <w:szCs w:val="32"/>
          <w:highlight w:val="none"/>
          <w:lang w:val="en-US" w:eastAsia="zh-CN"/>
        </w:rPr>
        <w:t xml:space="preserve">三、 </w:t>
      </w:r>
      <w:r>
        <w:rPr>
          <w:rFonts w:hint="eastAsia" w:ascii="宋体" w:hAnsi="宋体" w:eastAsia="宋体" w:cs="宋体"/>
          <w:b/>
          <w:bCs/>
          <w:sz w:val="32"/>
          <w:szCs w:val="32"/>
        </w:rPr>
        <w:t>服务要求</w:t>
      </w:r>
    </w:p>
    <w:p>
      <w:pPr>
        <w:numPr>
          <w:ilvl w:val="0"/>
          <w:numId w:val="0"/>
        </w:numPr>
        <w:ind w:leftChars="0" w:firstLine="482"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宋体" w:hAnsi="宋体" w:eastAsia="宋体" w:cs="Times New Roman"/>
          <w:b w:val="0"/>
          <w:bCs w:val="0"/>
          <w:color w:val="auto"/>
          <w:kern w:val="2"/>
          <w:sz w:val="24"/>
          <w:szCs w:val="24"/>
          <w:highlight w:val="none"/>
          <w:lang w:val="en-US" w:eastAsia="zh-CN" w:bidi="ar-SA"/>
        </w:rPr>
        <w:t>.供货日期：合同签订后1年，按采购人实际需求按次供货，每次供货需接到采购人通知后5个日历日内完成。</w:t>
      </w:r>
    </w:p>
    <w:p>
      <w:pPr>
        <w:numPr>
          <w:ilvl w:val="0"/>
          <w:numId w:val="0"/>
        </w:numPr>
        <w:ind w:leftChars="0" w:firstLine="480"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2.供货方式：免费送货至采购人指定地点。</w:t>
      </w:r>
    </w:p>
    <w:p>
      <w:pPr>
        <w:numPr>
          <w:ilvl w:val="0"/>
          <w:numId w:val="0"/>
        </w:numPr>
        <w:ind w:leftChars="0" w:firstLine="480" w:firstLineChars="200"/>
        <w:outlineLvl w:val="1"/>
      </w:pPr>
      <w:r>
        <w:rPr>
          <w:rFonts w:hint="eastAsia" w:ascii="宋体" w:hAnsi="宋体" w:eastAsia="宋体" w:cs="Times New Roman"/>
          <w:b w:val="0"/>
          <w:bCs w:val="0"/>
          <w:color w:val="auto"/>
          <w:kern w:val="2"/>
          <w:sz w:val="24"/>
          <w:szCs w:val="24"/>
          <w:highlight w:val="none"/>
          <w:lang w:val="en-US" w:eastAsia="zh-CN" w:bidi="ar-SA"/>
        </w:rPr>
        <w:t>3.质量要求：提供的全部花卉必须品质优良，无灰尘和杂物、无病虫害、无枯枝黄叶，需保持旺盛的可观赏的生长形态。供应商需保证自验收起2个月内花卉存活率达到95%，如不达标，供应商需将枯萎或死亡的鲜花进行更换。</w:t>
      </w:r>
    </w:p>
    <w:p>
      <w:pPr>
        <w:numPr>
          <w:ilvl w:val="0"/>
          <w:numId w:val="0"/>
        </w:numPr>
        <w:ind w:leftChars="0" w:firstLine="480" w:firstLineChars="200"/>
        <w:outlineLvl w:val="1"/>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i w:val="0"/>
          <w:iCs w:val="0"/>
          <w:color w:val="000000"/>
          <w:sz w:val="24"/>
          <w:szCs w:val="24"/>
          <w:u w:val="none"/>
          <w:lang w:val="en-US" w:eastAsia="zh-CN"/>
        </w:rPr>
        <w:t>4</w:t>
      </w:r>
      <w:r>
        <w:rPr>
          <w:rFonts w:hint="eastAsia" w:ascii="宋体" w:hAnsi="宋体" w:eastAsia="宋体" w:cs="Times New Roman"/>
          <w:b w:val="0"/>
          <w:bCs w:val="0"/>
          <w:color w:val="auto"/>
          <w:kern w:val="2"/>
          <w:sz w:val="24"/>
          <w:szCs w:val="24"/>
          <w:highlight w:val="none"/>
          <w:lang w:val="en-US" w:eastAsia="zh-CN" w:bidi="ar-SA"/>
        </w:rPr>
        <w:t>.高≥10cm每株，每株自带黑色营养钵及托盘。</w:t>
      </w:r>
    </w:p>
    <w:p>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hAnsi="宋体" w:cs="宋体"/>
          <w:bCs/>
          <w:sz w:val="24"/>
          <w:lang w:val="en-US" w:eastAsia="zh-CN"/>
        </w:rPr>
        <w:t xml:space="preserve">    5.</w:t>
      </w:r>
      <w:r>
        <w:rPr>
          <w:rFonts w:hint="eastAsia" w:ascii="宋体" w:hAnsi="宋体" w:eastAsia="宋体" w:cs="宋体"/>
          <w:color w:val="000000"/>
          <w:kern w:val="2"/>
          <w:sz w:val="24"/>
          <w:szCs w:val="24"/>
          <w:lang w:val="en-US" w:eastAsia="zh-CN" w:bidi="ar-SA"/>
        </w:rPr>
        <w:t>如因生产经营需要在采购人清单外的“</w:t>
      </w:r>
      <w:r>
        <w:rPr>
          <w:rFonts w:hint="eastAsia" w:ascii="宋体" w:hAnsi="宋体" w:cs="宋体"/>
          <w:color w:val="000000"/>
          <w:sz w:val="24"/>
          <w:szCs w:val="24"/>
          <w:lang w:val="en-US" w:eastAsia="zh-CN"/>
        </w:rPr>
        <w:t>鲜花品类</w:t>
      </w:r>
      <w:r>
        <w:rPr>
          <w:rFonts w:hint="eastAsia" w:ascii="宋体" w:hAnsi="宋体" w:eastAsia="宋体" w:cs="宋体"/>
          <w:color w:val="000000"/>
          <w:kern w:val="2"/>
          <w:sz w:val="24"/>
          <w:szCs w:val="24"/>
          <w:lang w:val="en-US" w:eastAsia="zh-CN" w:bidi="ar-SA"/>
        </w:rPr>
        <w:t>”，由双方共同认质认价。</w:t>
      </w:r>
    </w:p>
    <w:p>
      <w:pPr>
        <w:numPr>
          <w:ilvl w:val="0"/>
          <w:numId w:val="0"/>
        </w:numPr>
        <w:spacing w:line="360" w:lineRule="auto"/>
        <w:ind w:leftChars="200"/>
        <w:rPr>
          <w:rFonts w:hint="eastAsia" w:ascii="宋体" w:hAnsi="宋体" w:eastAsia="宋体" w:cs="宋体"/>
          <w:color w:val="auto"/>
          <w:sz w:val="32"/>
          <w:szCs w:val="32"/>
          <w:highlight w:val="none"/>
          <w:lang w:val="en-US" w:eastAsia="zh-CN"/>
        </w:rPr>
      </w:pPr>
      <w:bookmarkStart w:id="48" w:name="_Toc25832"/>
      <w:r>
        <w:rPr>
          <w:rFonts w:hint="eastAsia" w:ascii="宋体" w:hAnsi="宋体" w:eastAsia="宋体" w:cs="宋体"/>
          <w:color w:val="auto"/>
          <w:sz w:val="32"/>
          <w:szCs w:val="32"/>
          <w:highlight w:val="none"/>
          <w:lang w:val="en-US" w:eastAsia="zh-CN"/>
        </w:rPr>
        <w:t>四、商务要求</w:t>
      </w:r>
      <w:bookmarkEnd w:id="48"/>
      <w:bookmarkStart w:id="49" w:name="_Toc23323"/>
    </w:p>
    <w:p>
      <w:pPr>
        <w:numPr>
          <w:ilvl w:val="0"/>
          <w:numId w:val="0"/>
        </w:numPr>
        <w:ind w:leftChars="0" w:firstLine="480" w:firstLineChars="200"/>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付款方式：结算方式：按单次结算，每次验收合格且供应商开具等额增值税专用发票后一次性支付当次款项。。如采购人因生产经营需要采购清单外的“鲜花品类”，需双方通过认质认价方式确定价格，新增油品结算列入同期结算范围。</w:t>
      </w:r>
      <w:bookmarkEnd w:id="49"/>
    </w:p>
    <w:p>
      <w:pPr>
        <w:numPr>
          <w:ilvl w:val="0"/>
          <w:numId w:val="0"/>
        </w:num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2"/>
        <w:bidi w:val="0"/>
        <w:jc w:val="center"/>
        <w:rPr>
          <w:rFonts w:hint="eastAsia" w:ascii="黑体" w:hAnsi="黑体" w:eastAsia="黑体" w:cs="黑体"/>
          <w:b/>
          <w:bCs w:val="0"/>
          <w:sz w:val="36"/>
          <w:szCs w:val="36"/>
        </w:rPr>
      </w:pPr>
      <w:bookmarkStart w:id="50" w:name="_Toc11587"/>
      <w:r>
        <w:rPr>
          <w:rFonts w:hint="eastAsia" w:ascii="黑体" w:hAnsi="黑体" w:eastAsia="黑体" w:cs="黑体"/>
          <w:b/>
          <w:bCs w:val="0"/>
          <w:sz w:val="36"/>
          <w:szCs w:val="36"/>
        </w:rPr>
        <w:t>第四章 响应文件格式</w:t>
      </w:r>
      <w:bookmarkEnd w:id="47"/>
      <w:bookmarkEnd w:id="50"/>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XYCG【2025】008号</w:t>
      </w:r>
    </w:p>
    <w:p>
      <w:pPr>
        <w:pStyle w:val="7"/>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7"/>
        <w:rPr>
          <w:rFonts w:hint="eastAsia"/>
          <w:color w:val="auto"/>
          <w:highlight w:val="none"/>
        </w:rPr>
      </w:pPr>
    </w:p>
    <w:p>
      <w:pPr>
        <w:pStyle w:val="1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7"/>
        <w:rPr>
          <w:rFonts w:hint="eastAsia"/>
          <w:color w:val="auto"/>
          <w:highlight w:val="none"/>
        </w:rPr>
      </w:pPr>
    </w:p>
    <w:p>
      <w:pPr>
        <w:pStyle w:val="7"/>
        <w:spacing w:line="360" w:lineRule="auto"/>
        <w:rPr>
          <w:rFonts w:hint="eastAsia"/>
          <w:color w:val="auto"/>
          <w:highlight w:val="none"/>
        </w:rPr>
      </w:pPr>
    </w:p>
    <w:p>
      <w:pPr>
        <w:spacing w:line="360" w:lineRule="auto"/>
        <w:rPr>
          <w:rFonts w:hint="eastAsia"/>
          <w:color w:val="auto"/>
          <w:highlight w:val="none"/>
        </w:rPr>
      </w:pPr>
    </w:p>
    <w:p>
      <w:pPr>
        <w:pStyle w:val="7"/>
        <w:spacing w:line="360" w:lineRule="auto"/>
        <w:rPr>
          <w:rFonts w:hint="eastAsia"/>
          <w:color w:val="auto"/>
          <w:highlight w:val="none"/>
        </w:rPr>
      </w:pPr>
    </w:p>
    <w:p>
      <w:pPr>
        <w:pStyle w:val="7"/>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7"/>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7"/>
        <w:rPr>
          <w:rFonts w:hint="eastAsia"/>
          <w:color w:val="auto"/>
          <w:highlight w:val="none"/>
        </w:rPr>
      </w:pPr>
    </w:p>
    <w:p>
      <w:pPr>
        <w:pStyle w:val="10"/>
        <w:ind w:firstLine="420"/>
        <w:rPr>
          <w:rFonts w:hint="eastAsia"/>
          <w:color w:val="auto"/>
          <w:highlight w:val="none"/>
        </w:rPr>
      </w:pPr>
    </w:p>
    <w:p>
      <w:pPr>
        <w:rPr>
          <w:rFonts w:hint="eastAsia"/>
          <w:color w:val="auto"/>
          <w:highlight w:val="none"/>
        </w:rPr>
      </w:pPr>
    </w:p>
    <w:p>
      <w:pPr>
        <w:pStyle w:val="7"/>
        <w:rPr>
          <w:rFonts w:hint="eastAsia"/>
          <w:color w:val="auto"/>
          <w:highlight w:val="none"/>
        </w:rPr>
      </w:pPr>
    </w:p>
    <w:p>
      <w:pPr>
        <w:pStyle w:val="10"/>
        <w:ind w:firstLine="420"/>
        <w:rPr>
          <w:rFonts w:hint="eastAsia"/>
          <w:color w:val="auto"/>
          <w:highlight w:val="none"/>
        </w:rPr>
      </w:pPr>
    </w:p>
    <w:p>
      <w:pPr>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2283"/>
      <w:bookmarkStart w:id="52" w:name="_Toc91771164"/>
      <w:r>
        <w:rPr>
          <w:rStyle w:val="40"/>
          <w:rFonts w:hint="eastAsia" w:ascii="黑体" w:hAnsi="黑体" w:eastAsia="黑体" w:cs="黑体"/>
          <w:sz w:val="36"/>
          <w:szCs w:val="36"/>
        </w:rPr>
        <w:t>一、报价函</w:t>
      </w:r>
      <w:bookmarkEnd w:id="51"/>
      <w:bookmarkEnd w:id="5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1</w:t>
      </w:r>
      <w:r>
        <w:rPr>
          <w:rFonts w:hint="eastAsia"/>
          <w:color w:val="auto"/>
          <w:sz w:val="24"/>
          <w:highlight w:val="none"/>
          <w:lang w:val="en-US" w:eastAsia="zh-CN"/>
        </w:rPr>
        <w:t>%）</w:t>
      </w:r>
      <w:r>
        <w:rPr>
          <w:color w:val="auto"/>
          <w:sz w:val="24"/>
          <w:highlight w:val="none"/>
        </w:rPr>
        <w:t>，报价有效期为询价文件规定的起算之日起90天。</w:t>
      </w:r>
    </w:p>
    <w:p>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之日起5</w:t>
      </w:r>
      <w:r>
        <w:rPr>
          <w:rFonts w:hint="eastAsia" w:hAnsi="宋体" w:cs="宋体"/>
          <w:b w:val="0"/>
          <w:bCs/>
          <w:sz w:val="24"/>
        </w:rPr>
        <w:t>日内</w:t>
      </w:r>
      <w:r>
        <w:rPr>
          <w:rFonts w:hint="eastAsia" w:cs="宋体"/>
          <w:b w:val="0"/>
          <w:bCs/>
          <w:sz w:val="24"/>
          <w:lang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91771165"/>
      <w:bookmarkStart w:id="54" w:name="_Toc26055"/>
      <w:r>
        <w:rPr>
          <w:rStyle w:val="40"/>
          <w:rFonts w:hint="eastAsia" w:ascii="黑体" w:hAnsi="黑体" w:eastAsia="黑体" w:cs="黑体"/>
          <w:b/>
          <w:sz w:val="36"/>
          <w:szCs w:val="36"/>
        </w:rPr>
        <w:t>二、资格证明材料</w:t>
      </w:r>
      <w:bookmarkEnd w:id="53"/>
      <w:bookmarkEnd w:id="5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7"/>
        <w:rPr>
          <w:rFonts w:hint="eastAsia"/>
        </w:rPr>
      </w:pPr>
    </w:p>
    <w:p>
      <w:pPr>
        <w:pStyle w:val="7"/>
        <w:rPr>
          <w:rFonts w:hint="eastAsia"/>
        </w:rPr>
      </w:pPr>
    </w:p>
    <w:p>
      <w:pPr>
        <w:pStyle w:val="7"/>
        <w:rPr>
          <w:color w:val="auto"/>
          <w:highlight w:val="none"/>
        </w:rPr>
      </w:pPr>
    </w:p>
    <w:p>
      <w:pPr>
        <w:pStyle w:val="7"/>
        <w:rPr>
          <w:rFonts w:hint="eastAsia"/>
          <w:color w:val="auto"/>
          <w:highlight w:val="none"/>
        </w:rPr>
      </w:pPr>
    </w:p>
    <w:p>
      <w:pPr>
        <w:pStyle w:val="7"/>
        <w:rPr>
          <w:rFonts w:hint="eastAsia"/>
          <w:color w:val="auto"/>
          <w:highlight w:val="none"/>
        </w:rPr>
      </w:pPr>
    </w:p>
    <w:p>
      <w:pPr>
        <w:numPr>
          <w:ilvl w:val="0"/>
          <w:numId w:val="0"/>
        </w:numPr>
        <w:spacing w:before="120" w:beforeLines="50" w:after="360" w:afterLines="150"/>
        <w:jc w:val="both"/>
        <w:outlineLvl w:val="1"/>
        <w:rPr>
          <w:rStyle w:val="40"/>
          <w:rFonts w:hint="eastAsia" w:ascii="黑体" w:hAnsi="黑体" w:eastAsia="黑体" w:cs="黑体"/>
        </w:rPr>
      </w:pPr>
      <w:r>
        <w:rPr>
          <w:b/>
          <w:color w:val="auto"/>
          <w:sz w:val="32"/>
          <w:szCs w:val="32"/>
          <w:highlight w:val="none"/>
        </w:rPr>
        <w:br w:type="page"/>
      </w:r>
      <w:bookmarkStart w:id="55" w:name="_Toc91771166"/>
      <w:bookmarkStart w:id="56" w:name="_Toc7017"/>
      <w:r>
        <w:rPr>
          <w:rFonts w:hint="eastAsia" w:ascii="黑体" w:hAnsi="黑体" w:eastAsia="黑体" w:cs="黑体"/>
          <w:b/>
          <w:color w:val="auto"/>
          <w:sz w:val="32"/>
          <w:szCs w:val="32"/>
          <w:highlight w:val="none"/>
          <w:lang w:val="en-US" w:eastAsia="zh-CN"/>
        </w:rPr>
        <w:t>三、</w:t>
      </w:r>
      <w:r>
        <w:rPr>
          <w:rStyle w:val="40"/>
          <w:rFonts w:hint="eastAsia" w:ascii="黑体" w:hAnsi="黑体" w:eastAsia="黑体" w:cs="黑体"/>
          <w:sz w:val="36"/>
          <w:szCs w:val="36"/>
        </w:rPr>
        <w:t>法定代表人</w:t>
      </w:r>
      <w:r>
        <w:rPr>
          <w:rStyle w:val="40"/>
          <w:rFonts w:hint="eastAsia" w:ascii="黑体" w:hAnsi="黑体" w:eastAsia="黑体" w:cs="黑体"/>
          <w:sz w:val="36"/>
          <w:szCs w:val="36"/>
          <w:lang w:eastAsia="zh-CN"/>
        </w:rPr>
        <w:t>身份证明文件或</w:t>
      </w:r>
      <w:r>
        <w:rPr>
          <w:rStyle w:val="40"/>
          <w:rFonts w:hint="eastAsia" w:ascii="黑体" w:hAnsi="黑体" w:eastAsia="黑体" w:cs="黑体"/>
          <w:sz w:val="36"/>
          <w:szCs w:val="36"/>
        </w:rPr>
        <w:t>法定代表人授权书</w:t>
      </w:r>
      <w:bookmarkEnd w:id="55"/>
      <w:bookmarkEnd w:id="56"/>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7"/>
        <w:rPr>
          <w:rFonts w:hint="eastAsia"/>
          <w:color w:val="auto"/>
        </w:rPr>
      </w:pPr>
    </w:p>
    <w:p>
      <w:pPr>
        <w:pStyle w:val="8"/>
        <w:rPr>
          <w:rFonts w:hint="eastAsia" w:ascii="Times New Roman" w:hAnsi="Times New Roman" w:eastAsia="宋体" w:cs="Times New Roman"/>
          <w:color w:val="auto"/>
          <w:kern w:val="2"/>
          <w:sz w:val="24"/>
          <w:szCs w:val="24"/>
          <w:highlight w:val="none"/>
          <w:lang w:val="en-US" w:eastAsia="zh-CN" w:bidi="ar-SA"/>
        </w:rPr>
      </w:pPr>
      <w:bookmarkStart w:id="57" w:name="_Toc7132"/>
      <w:bookmarkStart w:id="58" w:name="_Toc13402"/>
      <w:bookmarkStart w:id="59" w:name="_Toc10212"/>
      <w:bookmarkStart w:id="60" w:name="_Toc20821"/>
      <w:bookmarkStart w:id="61" w:name="_Toc720"/>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bookmarkEnd w:id="58"/>
      <w:bookmarkEnd w:id="59"/>
      <w:bookmarkEnd w:id="60"/>
      <w:bookmarkEnd w:id="61"/>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被授权人</w:t>
      </w:r>
      <w:r>
        <w:rPr>
          <w:rFonts w:hint="eastAsia"/>
          <w:color w:val="auto"/>
          <w:sz w:val="24"/>
          <w:highlight w:val="none"/>
        </w:rPr>
        <w:t>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lang w:val="en-US" w:eastAsia="zh-CN"/>
        </w:rPr>
      </w:pPr>
    </w:p>
    <w:p>
      <w:pPr>
        <w:spacing w:line="360" w:lineRule="auto"/>
        <w:ind w:firstLine="482" w:firstLineChars="200"/>
        <w:jc w:val="left"/>
        <w:rPr>
          <w:rFonts w:hint="default" w:eastAsia="宋体"/>
          <w:color w:val="auto"/>
          <w:sz w:val="24"/>
          <w:highlight w:val="none"/>
          <w:lang w:val="en-US" w:eastAsia="zh-CN"/>
        </w:rPr>
      </w:pPr>
      <w:r>
        <w:rPr>
          <w:rFonts w:hint="eastAsia"/>
          <w:b/>
          <w:bCs/>
          <w:color w:val="auto"/>
          <w:sz w:val="24"/>
          <w:highlight w:val="none"/>
          <w:lang w:val="en-US" w:eastAsia="zh-CN"/>
        </w:rPr>
        <w:t>注：如自然人或其他组织参加本次采购的授权书可参照上述模板</w:t>
      </w:r>
      <w:r>
        <w:rPr>
          <w:rFonts w:hint="eastAsia"/>
          <w:color w:val="auto"/>
          <w:sz w:val="24"/>
          <w:highlight w:val="none"/>
          <w:lang w:val="en-US" w:eastAsia="zh-CN"/>
        </w:rPr>
        <w:t>。</w:t>
      </w:r>
    </w:p>
    <w:p>
      <w:pPr>
        <w:spacing w:line="400" w:lineRule="exact"/>
        <w:rPr>
          <w:rFonts w:hint="eastAsia"/>
          <w:color w:val="auto"/>
          <w:sz w:val="32"/>
          <w:highlight w:val="none"/>
        </w:rPr>
      </w:pPr>
    </w:p>
    <w:p>
      <w:pPr>
        <w:numPr>
          <w:ilvl w:val="0"/>
          <w:numId w:val="0"/>
        </w:numPr>
        <w:spacing w:before="120" w:beforeLines="50" w:after="360" w:afterLines="150"/>
        <w:ind w:leftChars="0"/>
        <w:jc w:val="both"/>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2" w:name="_Toc11492"/>
      <w:bookmarkStart w:id="63" w:name="_Toc91771167"/>
      <w:r>
        <w:rPr>
          <w:rFonts w:hint="eastAsia"/>
          <w:b/>
          <w:color w:val="auto"/>
          <w:sz w:val="32"/>
          <w:szCs w:val="32"/>
          <w:highlight w:val="none"/>
          <w:lang w:val="en-US" w:eastAsia="zh-CN"/>
        </w:rPr>
        <w:t xml:space="preserve">              </w:t>
      </w:r>
      <w:r>
        <w:rPr>
          <w:rFonts w:hint="eastAsia" w:ascii="黑体" w:hAnsi="黑体" w:eastAsia="黑体" w:cs="黑体"/>
          <w:b/>
          <w:color w:val="auto"/>
          <w:sz w:val="36"/>
          <w:szCs w:val="36"/>
          <w:highlight w:val="none"/>
          <w:lang w:val="en-US" w:eastAsia="zh-CN"/>
        </w:rPr>
        <w:t>四、</w:t>
      </w:r>
      <w:r>
        <w:rPr>
          <w:rStyle w:val="40"/>
          <w:rFonts w:hint="eastAsia" w:ascii="黑体" w:hAnsi="黑体" w:eastAsia="黑体" w:cs="黑体"/>
          <w:sz w:val="36"/>
          <w:szCs w:val="36"/>
        </w:rPr>
        <w:t>分项报价表</w:t>
      </w:r>
      <w:bookmarkEnd w:id="62"/>
      <w:bookmarkEnd w:id="63"/>
    </w:p>
    <w:tbl>
      <w:tblPr>
        <w:tblStyle w:val="21"/>
        <w:tblW w:w="9585"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
        <w:gridCol w:w="1157"/>
        <w:gridCol w:w="1176"/>
        <w:gridCol w:w="696"/>
        <w:gridCol w:w="816"/>
        <w:gridCol w:w="1325"/>
        <w:gridCol w:w="194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5" w:type="dxa"/>
            <w:gridSpan w:val="8"/>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2025年江阳公园鲜花采购清单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品牌规格</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58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 （含税）</w:t>
            </w:r>
          </w:p>
          <w:p>
            <w:pPr>
              <w:jc w:val="center"/>
              <w:rPr>
                <w:rFonts w:hint="eastAsia" w:ascii="宋体" w:hAnsi="宋体" w:eastAsia="宋体" w:cs="宋体"/>
                <w:i w:val="0"/>
                <w:iCs w:val="0"/>
                <w:color w:val="000000"/>
                <w:sz w:val="24"/>
                <w:szCs w:val="24"/>
                <w:u w:val="none"/>
              </w:rPr>
            </w:pPr>
          </w:p>
        </w:tc>
      </w:tr>
    </w:tbl>
    <w:p>
      <w:pPr>
        <w:pStyle w:val="7"/>
        <w:rPr>
          <w:rFonts w:hint="eastAsia"/>
          <w:lang w:val="en-US" w:eastAsia="zh-CN"/>
        </w:rPr>
      </w:pPr>
    </w:p>
    <w:p>
      <w:pPr>
        <w:pStyle w:val="14"/>
        <w:rPr>
          <w:rFonts w:hint="eastAsia"/>
        </w:rPr>
      </w:pPr>
    </w:p>
    <w:p>
      <w:pPr>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w:t>
      </w:r>
      <w:r>
        <w:rPr>
          <w:rFonts w:hint="eastAsia" w:ascii="宋体" w:hAnsi="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b/>
          <w:bCs/>
          <w:color w:val="auto"/>
          <w:sz w:val="24"/>
          <w:szCs w:val="24"/>
          <w:highlight w:val="none"/>
        </w:rPr>
        <w:t>（</w:t>
      </w:r>
      <w:r>
        <w:rPr>
          <w:rFonts w:hint="eastAsia"/>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val="en-US" w:eastAsia="zh-CN"/>
        </w:rPr>
        <w:t xml:space="preserve">  </w:t>
      </w:r>
      <w:r>
        <w:rPr>
          <w:rFonts w:hint="eastAsia"/>
          <w:b/>
          <w:bCs/>
          <w:color w:val="auto"/>
          <w:sz w:val="24"/>
          <w:szCs w:val="24"/>
          <w:highlight w:val="none"/>
          <w:u w:val="single"/>
          <w:lang w:val="en-US" w:eastAsia="zh-CN"/>
        </w:rPr>
        <w:t>%</w:t>
      </w:r>
      <w:r>
        <w:rPr>
          <w:rFonts w:hint="eastAsia"/>
          <w:b/>
          <w:bCs/>
          <w:color w:val="auto"/>
          <w:sz w:val="24"/>
          <w:szCs w:val="24"/>
          <w:highlight w:val="none"/>
        </w:rPr>
        <w:t>）</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增值税专用发票</w:t>
      </w:r>
      <w:r>
        <w:rPr>
          <w:rFonts w:hint="eastAsia"/>
          <w:b w:val="0"/>
          <w:bCs w:val="0"/>
          <w:color w:val="auto"/>
          <w:sz w:val="24"/>
          <w:szCs w:val="24"/>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1" w:firstLineChars="100"/>
        <w:jc w:val="left"/>
        <w:rPr>
          <w:rFonts w:hint="eastAsia" w:ascii="宋体" w:hAnsi="宋体"/>
          <w:b w:val="0"/>
          <w:bCs w:val="0"/>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2.报价表内的单价不能超过第三章中清单的最高单价限价</w:t>
      </w:r>
      <w:r>
        <w:rPr>
          <w:rFonts w:hint="eastAsia" w:ascii="宋体" w:hAnsi="宋体"/>
          <w:b w:val="0"/>
          <w:bCs w:val="0"/>
          <w:color w:val="000000"/>
          <w:sz w:val="24"/>
          <w:highlight w:val="none"/>
          <w:lang w:val="en-US" w:eastAsia="zh-CN"/>
        </w:rPr>
        <w:t>。</w:t>
      </w:r>
    </w:p>
    <w:p>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本次采购税率固定为1%，最终税率按实结算。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40"/>
          <w:rFonts w:hint="eastAsia"/>
        </w:rPr>
      </w:pPr>
      <w:r>
        <w:rPr>
          <w:rFonts w:ascii="宋体" w:hAnsi="宋体" w:cs="Arial"/>
          <w:b/>
          <w:bCs/>
          <w:color w:val="auto"/>
          <w:sz w:val="32"/>
          <w:szCs w:val="32"/>
          <w:highlight w:val="none"/>
        </w:rPr>
        <w:br w:type="page"/>
      </w:r>
      <w:bookmarkStart w:id="64" w:name="_Toc91771168"/>
      <w:bookmarkStart w:id="65" w:name="_Toc25145"/>
      <w:r>
        <w:rPr>
          <w:rStyle w:val="40"/>
          <w:rFonts w:hint="eastAsia" w:ascii="黑体" w:hAnsi="黑体" w:eastAsia="黑体" w:cs="黑体"/>
          <w:sz w:val="36"/>
          <w:szCs w:val="36"/>
        </w:rPr>
        <w:t>五、承诺函</w:t>
      </w:r>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Style w:val="40"/>
          <w:rFonts w:hint="eastAsia"/>
        </w:rPr>
      </w:pPr>
      <w:r>
        <w:rPr>
          <w:rFonts w:ascii="宋体" w:hAnsi="宋体" w:cs="Arial"/>
          <w:b/>
          <w:bCs/>
          <w:color w:val="auto"/>
          <w:highlight w:val="none"/>
        </w:rPr>
        <w:br w:type="page"/>
      </w:r>
      <w:bookmarkStart w:id="66" w:name="_Toc2900"/>
      <w:bookmarkStart w:id="67" w:name="_Toc9917"/>
      <w:bookmarkStart w:id="68" w:name="_Toc91771169"/>
      <w:bookmarkStart w:id="69" w:name="_Toc30219"/>
      <w:bookmarkStart w:id="70" w:name="_Toc16489"/>
      <w:bookmarkStart w:id="71" w:name="_Toc2589"/>
      <w:bookmarkStart w:id="72" w:name="_Toc27192"/>
      <w:r>
        <w:rPr>
          <w:rStyle w:val="40"/>
          <w:rFonts w:hint="eastAsia" w:ascii="黑体" w:hAnsi="黑体" w:eastAsia="黑体" w:cs="黑体"/>
          <w:sz w:val="36"/>
          <w:szCs w:val="36"/>
        </w:rPr>
        <w:t>六、竞标人廉洁自律承诺书</w:t>
      </w:r>
      <w:bookmarkEnd w:id="66"/>
      <w:bookmarkEnd w:id="67"/>
      <w:bookmarkEnd w:id="68"/>
      <w:bookmarkEnd w:id="69"/>
      <w:bookmarkEnd w:id="70"/>
      <w:bookmarkEnd w:id="71"/>
      <w:bookmarkEnd w:id="7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40"/>
          <w:rFonts w:hint="eastAsia"/>
        </w:rPr>
      </w:pPr>
      <w:r>
        <w:rPr>
          <w:rFonts w:ascii="宋体" w:hAnsi="宋体" w:cs="Arial"/>
          <w:b/>
          <w:bCs/>
          <w:color w:val="auto"/>
          <w:sz w:val="32"/>
          <w:szCs w:val="32"/>
          <w:highlight w:val="none"/>
        </w:rPr>
        <w:br w:type="page"/>
      </w:r>
      <w:bookmarkStart w:id="73" w:name="_Toc91771170"/>
      <w:bookmarkStart w:id="74" w:name="_Toc21045"/>
      <w:r>
        <w:rPr>
          <w:rStyle w:val="40"/>
          <w:rFonts w:hint="eastAsia" w:ascii="黑体" w:hAnsi="黑体" w:eastAsia="黑体" w:cs="黑体"/>
          <w:sz w:val="36"/>
          <w:szCs w:val="36"/>
        </w:rPr>
        <w:t>七、供应商基本情况表</w:t>
      </w:r>
      <w:bookmarkEnd w:id="73"/>
      <w:bookmarkEnd w:id="74"/>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7"/>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pStyle w:val="2"/>
        <w:bidi w:val="0"/>
        <w:rPr>
          <w:rFonts w:hint="eastAsia" w:ascii="黑体" w:hAnsi="黑体" w:eastAsia="黑体" w:cs="黑体"/>
          <w:sz w:val="36"/>
          <w:szCs w:val="36"/>
          <w:lang w:val="en-US" w:eastAsia="zh-CN"/>
        </w:rPr>
      </w:pPr>
      <w:bookmarkStart w:id="75" w:name="_Toc91771171"/>
      <w:bookmarkStart w:id="76" w:name="_Toc29315"/>
      <w:r>
        <w:rPr>
          <w:rFonts w:hint="eastAsia" w:ascii="黑体" w:hAnsi="黑体" w:eastAsia="黑体" w:cs="黑体"/>
          <w:sz w:val="36"/>
          <w:szCs w:val="36"/>
        </w:rPr>
        <w:t>八、供应商本项目管理、技术、服务人员情况表</w:t>
      </w:r>
      <w:bookmarkEnd w:id="75"/>
      <w:bookmarkEnd w:id="76"/>
      <w:r>
        <w:rPr>
          <w:rFonts w:hint="eastAsia" w:ascii="黑体" w:hAnsi="黑体" w:eastAsia="黑体" w:cs="黑体"/>
          <w:sz w:val="36"/>
          <w:szCs w:val="36"/>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10"/>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Style w:val="40"/>
          <w:rFonts w:hint="eastAsia"/>
        </w:rPr>
      </w:pPr>
      <w:r>
        <w:rPr>
          <w:rFonts w:ascii="宋体" w:hAnsi="宋体"/>
          <w:b/>
          <w:bCs/>
          <w:color w:val="auto"/>
          <w:sz w:val="32"/>
          <w:szCs w:val="32"/>
          <w:highlight w:val="none"/>
        </w:rPr>
        <w:br w:type="page"/>
      </w:r>
      <w:bookmarkStart w:id="77" w:name="_Toc91771172"/>
      <w:bookmarkStart w:id="78" w:name="_Toc16437"/>
      <w:r>
        <w:rPr>
          <w:rStyle w:val="40"/>
          <w:rFonts w:hint="eastAsia" w:ascii="黑体" w:hAnsi="黑体" w:eastAsia="黑体" w:cs="黑体"/>
          <w:sz w:val="36"/>
          <w:szCs w:val="36"/>
        </w:rPr>
        <w:t>九、商务、技术、服务要求应答表</w:t>
      </w:r>
      <w:bookmarkEnd w:id="77"/>
      <w:bookmarkEnd w:id="7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numPr>
                <w:ilvl w:val="0"/>
                <w:numId w:val="0"/>
              </w:numPr>
              <w:spacing w:line="360" w:lineRule="auto"/>
              <w:rPr>
                <w:rFonts w:hint="eastAsia" w:ascii="宋体" w:hAnsi="宋体" w:eastAsia="宋体" w:cs="宋体"/>
                <w:b/>
                <w:bCs/>
                <w:sz w:val="32"/>
                <w:szCs w:val="32"/>
              </w:rPr>
            </w:pPr>
            <w:r>
              <w:rPr>
                <w:rFonts w:hint="eastAsia" w:ascii="宋体" w:hAnsi="宋体" w:eastAsia="宋体" w:cs="宋体"/>
                <w:b/>
                <w:bCs/>
                <w:sz w:val="32"/>
                <w:szCs w:val="32"/>
              </w:rPr>
              <w:t>服务要求</w:t>
            </w:r>
          </w:p>
          <w:p>
            <w:pPr>
              <w:numPr>
                <w:ilvl w:val="0"/>
                <w:numId w:val="0"/>
              </w:numPr>
              <w:ind w:leftChars="0" w:firstLine="482"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宋体" w:hAnsi="宋体" w:eastAsia="宋体" w:cs="Times New Roman"/>
                <w:b w:val="0"/>
                <w:bCs w:val="0"/>
                <w:color w:val="auto"/>
                <w:kern w:val="2"/>
                <w:sz w:val="24"/>
                <w:szCs w:val="24"/>
                <w:highlight w:val="none"/>
                <w:lang w:val="en-US" w:eastAsia="zh-CN" w:bidi="ar-SA"/>
              </w:rPr>
              <w:t>.供货日期：合同签订后1年，按采购人实际需求按次供货，每次供货需接到采购人通知后5个日历日内完成。</w:t>
            </w:r>
          </w:p>
          <w:p>
            <w:pPr>
              <w:numPr>
                <w:ilvl w:val="0"/>
                <w:numId w:val="0"/>
              </w:numPr>
              <w:ind w:leftChars="0" w:firstLine="480"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2.供货方式：免费送货至采购人指定地点。</w:t>
            </w:r>
          </w:p>
          <w:p>
            <w:pPr>
              <w:numPr>
                <w:ilvl w:val="0"/>
                <w:numId w:val="0"/>
              </w:numPr>
              <w:ind w:leftChars="0" w:firstLine="480" w:firstLineChars="200"/>
              <w:outlineLvl w:val="1"/>
            </w:pPr>
            <w:r>
              <w:rPr>
                <w:rFonts w:hint="eastAsia" w:ascii="宋体" w:hAnsi="宋体" w:eastAsia="宋体" w:cs="Times New Roman"/>
                <w:b w:val="0"/>
                <w:bCs w:val="0"/>
                <w:color w:val="auto"/>
                <w:kern w:val="2"/>
                <w:sz w:val="24"/>
                <w:szCs w:val="24"/>
                <w:highlight w:val="none"/>
                <w:lang w:val="en-US" w:eastAsia="zh-CN" w:bidi="ar-SA"/>
              </w:rPr>
              <w:t>3.质量要求：提供的全部花卉必须品质优良，无灰尘和杂物、无病虫害、无枯枝黄叶，需保持旺盛的可观赏的生长形态。供应商需保证自验收起2个月内花卉存活率达到95%，如不达标，供应商需将枯萎或死亡的鲜花进行更换。</w:t>
            </w:r>
          </w:p>
          <w:p>
            <w:pPr>
              <w:numPr>
                <w:ilvl w:val="0"/>
                <w:numId w:val="0"/>
              </w:numPr>
              <w:ind w:leftChars="0" w:firstLine="480"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4.高≥10cm每株，每株自带黑色营养钵及托盘。</w:t>
            </w:r>
          </w:p>
          <w:p>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sz w:val="18"/>
                <w:szCs w:val="18"/>
                <w:lang w:val="en-US" w:eastAsia="zh-CN"/>
              </w:rPr>
            </w:pPr>
            <w:r>
              <w:rPr>
                <w:rFonts w:hint="eastAsia" w:hAnsi="宋体" w:cs="宋体"/>
                <w:bCs/>
                <w:sz w:val="24"/>
                <w:lang w:val="en-US" w:eastAsia="zh-CN"/>
              </w:rPr>
              <w:t xml:space="preserve">    5.</w:t>
            </w:r>
            <w:r>
              <w:rPr>
                <w:rFonts w:hint="eastAsia" w:ascii="宋体" w:hAnsi="宋体" w:eastAsia="宋体" w:cs="宋体"/>
                <w:color w:val="000000"/>
                <w:kern w:val="2"/>
                <w:sz w:val="24"/>
                <w:szCs w:val="24"/>
                <w:lang w:val="en-US" w:eastAsia="zh-CN" w:bidi="ar-SA"/>
              </w:rPr>
              <w:t>如因生产经营需要在采购人清单外的“</w:t>
            </w:r>
            <w:r>
              <w:rPr>
                <w:rFonts w:hint="eastAsia" w:ascii="宋体" w:hAnsi="宋体" w:cs="宋体"/>
                <w:color w:val="000000"/>
                <w:sz w:val="24"/>
                <w:szCs w:val="24"/>
                <w:lang w:val="en-US" w:eastAsia="zh-CN"/>
              </w:rPr>
              <w:t>鲜花品类</w:t>
            </w:r>
            <w:r>
              <w:rPr>
                <w:rFonts w:hint="eastAsia" w:ascii="宋体" w:hAnsi="宋体" w:eastAsia="宋体" w:cs="宋体"/>
                <w:color w:val="000000"/>
                <w:kern w:val="2"/>
                <w:sz w:val="24"/>
                <w:szCs w:val="24"/>
                <w:lang w:val="en-US" w:eastAsia="zh-CN" w:bidi="ar-SA"/>
              </w:rPr>
              <w:t>”，由双方共同认质认价。</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商务要求</w:t>
            </w:r>
          </w:p>
          <w:p>
            <w:pPr>
              <w:numPr>
                <w:ilvl w:val="0"/>
                <w:numId w:val="0"/>
              </w:numPr>
              <w:ind w:leftChars="0" w:firstLine="480" w:firstLineChars="200"/>
              <w:outlineLvl w:val="1"/>
              <w:rPr>
                <w:rFonts w:hint="default"/>
                <w:sz w:val="18"/>
                <w:szCs w:val="18"/>
                <w:lang w:val="en-US" w:eastAsia="zh-CN"/>
              </w:rPr>
            </w:pPr>
            <w:r>
              <w:rPr>
                <w:rFonts w:hint="eastAsia" w:ascii="宋体" w:hAnsi="宋体" w:eastAsia="宋体" w:cs="宋体"/>
                <w:b w:val="0"/>
                <w:bCs w:val="0"/>
                <w:sz w:val="24"/>
                <w:szCs w:val="24"/>
                <w:lang w:val="en-US" w:eastAsia="zh-CN"/>
              </w:rPr>
              <w:t>1、付款方式：结算方式：按单次结算，每次验收合格且供应商开具等额增值税专用发票后一次性支付当次款项。。如采购人因生产经营需要采购清单外的“鲜花品类”，需双方通过认质认价方式确定价格，新增油品结算列入同期结算范围。</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79" w:name="_Toc797"/>
    </w:p>
    <w:bookmarkEnd w:id="79"/>
    <w:p>
      <w:pPr>
        <w:pStyle w:val="2"/>
        <w:bidi w:val="0"/>
        <w:jc w:val="center"/>
        <w:rPr>
          <w:rFonts w:hint="eastAsia" w:ascii="黑体" w:hAnsi="黑体" w:eastAsia="黑体" w:cs="黑体"/>
          <w:sz w:val="36"/>
          <w:szCs w:val="36"/>
        </w:rPr>
      </w:pPr>
      <w:bookmarkStart w:id="80" w:name="_Toc11862"/>
      <w:bookmarkStart w:id="81" w:name="_Toc91771176"/>
      <w:r>
        <w:rPr>
          <w:rFonts w:hint="eastAsia" w:ascii="黑体" w:hAnsi="黑体" w:eastAsia="黑体" w:cs="黑体"/>
          <w:sz w:val="36"/>
          <w:szCs w:val="36"/>
        </w:rPr>
        <w:t>第五章 保证金退还申请书</w:t>
      </w:r>
      <w:bookmarkEnd w:id="8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7"/>
        <w:spacing w:line="276" w:lineRule="auto"/>
        <w:rPr>
          <w:rFonts w:hint="eastAsia"/>
          <w:color w:val="auto"/>
          <w:sz w:val="24"/>
          <w:highlight w:val="none"/>
        </w:rPr>
      </w:pPr>
    </w:p>
    <w:p>
      <w:pPr>
        <w:pStyle w:val="7"/>
        <w:spacing w:line="276" w:lineRule="auto"/>
        <w:rPr>
          <w:rFonts w:hint="eastAsia"/>
          <w:color w:val="auto"/>
          <w:sz w:val="24"/>
          <w:highlight w:val="none"/>
        </w:rPr>
      </w:pPr>
    </w:p>
    <w:p>
      <w:pPr>
        <w:pStyle w:val="7"/>
        <w:spacing w:line="276" w:lineRule="auto"/>
        <w:rPr>
          <w:rFonts w:hint="eastAsia"/>
          <w:color w:val="auto"/>
          <w:sz w:val="24"/>
          <w:highlight w:val="none"/>
        </w:rPr>
      </w:pPr>
    </w:p>
    <w:p>
      <w:pPr>
        <w:pStyle w:val="7"/>
        <w:spacing w:line="276" w:lineRule="auto"/>
        <w:rPr>
          <w:rFonts w:hint="eastAsia"/>
          <w:color w:val="auto"/>
          <w:sz w:val="24"/>
          <w:highlight w:val="none"/>
        </w:rPr>
      </w:pPr>
    </w:p>
    <w:p>
      <w:pPr>
        <w:pStyle w:val="7"/>
        <w:spacing w:line="276" w:lineRule="auto"/>
        <w:rPr>
          <w:rFonts w:hint="eastAsia"/>
          <w:color w:val="auto"/>
          <w:sz w:val="24"/>
          <w:highlight w:val="none"/>
        </w:rPr>
      </w:pPr>
    </w:p>
    <w:p>
      <w:pPr>
        <w:pStyle w:val="7"/>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7"/>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pStyle w:val="2"/>
        <w:bidi w:val="0"/>
        <w:jc w:val="center"/>
        <w:rPr>
          <w:rFonts w:hint="eastAsia" w:ascii="黑体" w:hAnsi="黑体" w:eastAsia="黑体" w:cs="黑体"/>
          <w:sz w:val="36"/>
          <w:szCs w:val="36"/>
        </w:rPr>
      </w:pPr>
      <w:bookmarkStart w:id="82" w:name="_Toc26765"/>
      <w:r>
        <w:rPr>
          <w:rFonts w:hint="eastAsia" w:ascii="黑体" w:hAnsi="黑体" w:eastAsia="黑体" w:cs="黑体"/>
          <w:sz w:val="36"/>
          <w:szCs w:val="36"/>
        </w:rPr>
        <w:t>第</w:t>
      </w:r>
      <w:r>
        <w:rPr>
          <w:rFonts w:hint="eastAsia" w:ascii="黑体" w:hAnsi="黑体" w:eastAsia="黑体" w:cs="黑体"/>
          <w:sz w:val="36"/>
          <w:szCs w:val="36"/>
          <w:lang w:val="en-US" w:eastAsia="zh-CN"/>
        </w:rPr>
        <w:t>六</w:t>
      </w:r>
      <w:r>
        <w:rPr>
          <w:rFonts w:hint="eastAsia" w:ascii="黑体" w:hAnsi="黑体" w:eastAsia="黑体" w:cs="黑体"/>
          <w:sz w:val="36"/>
          <w:szCs w:val="36"/>
        </w:rPr>
        <w:t>章 评审方法</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25053"/>
      <w:bookmarkStart w:id="84" w:name="_Toc91771177"/>
      <w:r>
        <w:rPr>
          <w:rFonts w:hint="eastAsia" w:ascii="宋体" w:hAnsi="宋体"/>
          <w:b/>
          <w:bCs/>
          <w:color w:val="auto"/>
          <w:sz w:val="24"/>
          <w:highlight w:val="none"/>
        </w:rPr>
        <w:t>一、询价程序</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19327"/>
      <w:bookmarkStart w:id="86" w:name="_Toc91771178"/>
      <w:r>
        <w:rPr>
          <w:rFonts w:hint="eastAsia" w:ascii="宋体" w:hAnsi="宋体"/>
          <w:b/>
          <w:bCs/>
          <w:color w:val="auto"/>
          <w:sz w:val="24"/>
          <w:highlight w:val="none"/>
        </w:rPr>
        <w:t>二、评审程序、评审方法、评审标准</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91771179"/>
      <w:bookmarkStart w:id="88" w:name="_Toc26003"/>
      <w:r>
        <w:rPr>
          <w:rFonts w:hint="eastAsia" w:ascii="宋体" w:hAnsi="宋体"/>
          <w:b/>
          <w:bCs/>
          <w:color w:val="auto"/>
          <w:sz w:val="24"/>
          <w:highlight w:val="none"/>
        </w:rPr>
        <w:t>三、评审纪律</w:t>
      </w:r>
      <w:bookmarkEnd w:id="87"/>
      <w:bookmarkEnd w:id="8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0"/>
      <w:bookmarkEnd w:id="41"/>
      <w:bookmarkEnd w:id="42"/>
      <w:bookmarkStart w:id="89" w:name="_Hlt101846155"/>
      <w:bookmarkEnd w:id="89"/>
      <w:bookmarkStart w:id="90" w:name="_Toc217446059"/>
      <w:bookmarkStart w:id="91" w:name="_Toc21744609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2"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w:t>
      </w:r>
      <w:bookmarkStart w:id="93" w:name="_Toc19293"/>
      <w:r>
        <w:rPr>
          <w:rStyle w:val="40"/>
          <w:rFonts w:hint="eastAsia" w:ascii="黑体" w:hAnsi="黑体" w:eastAsia="黑体" w:cs="黑体"/>
          <w:sz w:val="36"/>
          <w:szCs w:val="36"/>
          <w:lang w:val="en-US" w:eastAsia="zh-CN"/>
        </w:rPr>
        <w:t xml:space="preserve">第七章  </w:t>
      </w:r>
      <w:r>
        <w:rPr>
          <w:rStyle w:val="40"/>
          <w:rFonts w:hint="eastAsia" w:ascii="黑体" w:hAnsi="黑体" w:eastAsia="黑体" w:cs="黑体"/>
          <w:sz w:val="36"/>
          <w:szCs w:val="36"/>
        </w:rPr>
        <w:t>采购合同（草案）</w:t>
      </w:r>
      <w:bookmarkEnd w:id="90"/>
      <w:bookmarkEnd w:id="91"/>
      <w:bookmarkEnd w:id="92"/>
      <w:bookmarkEnd w:id="93"/>
    </w:p>
    <w:p>
      <w:pPr>
        <w:tabs>
          <w:tab w:val="left" w:pos="825"/>
        </w:tabs>
        <w:spacing w:line="560" w:lineRule="exact"/>
        <w:rPr>
          <w:sz w:val="24"/>
          <w:szCs w:val="24"/>
          <w:u w:val="single"/>
        </w:rPr>
      </w:pPr>
      <w:r>
        <w:rPr>
          <w:rFonts w:hint="eastAsia" w:hAnsi="宋体"/>
          <w:sz w:val="24"/>
          <w:szCs w:val="24"/>
          <w:lang w:eastAsia="zh-CN"/>
        </w:rPr>
        <w:t>采购人</w:t>
      </w:r>
      <w:r>
        <w:rPr>
          <w:rFonts w:hAnsi="宋体"/>
          <w:sz w:val="24"/>
          <w:szCs w:val="24"/>
        </w:rPr>
        <w:t>（</w:t>
      </w:r>
      <w:r>
        <w:rPr>
          <w:rFonts w:hint="eastAsia" w:hAnsi="宋体"/>
          <w:sz w:val="24"/>
          <w:szCs w:val="24"/>
          <w:lang w:val="en-US" w:eastAsia="zh-CN"/>
        </w:rPr>
        <w:t>以下简称</w:t>
      </w:r>
      <w:r>
        <w:rPr>
          <w:rFonts w:hAnsi="宋体"/>
          <w:sz w:val="24"/>
          <w:szCs w:val="24"/>
        </w:rPr>
        <w:t>甲方）：</w:t>
      </w:r>
      <w:r>
        <w:rPr>
          <w:sz w:val="24"/>
          <w:szCs w:val="24"/>
          <w:u w:val="single"/>
        </w:rPr>
        <w:t xml:space="preserve">                                       </w:t>
      </w:r>
    </w:p>
    <w:p>
      <w:pPr>
        <w:tabs>
          <w:tab w:val="left" w:pos="825"/>
        </w:tabs>
        <w:spacing w:line="560" w:lineRule="exact"/>
        <w:rPr>
          <w:rFonts w:hint="eastAsia" w:eastAsia="宋体"/>
          <w:sz w:val="24"/>
          <w:szCs w:val="24"/>
          <w:u w:val="single"/>
          <w:lang w:val="en-US" w:eastAsia="zh-CN"/>
        </w:rPr>
      </w:pPr>
      <w:r>
        <w:rPr>
          <w:rFonts w:hint="eastAsia" w:hAnsi="宋体"/>
          <w:sz w:val="24"/>
          <w:szCs w:val="24"/>
          <w:lang w:val="en-US" w:eastAsia="zh-CN"/>
        </w:rPr>
        <w:t>供货</w:t>
      </w:r>
      <w:r>
        <w:rPr>
          <w:rFonts w:hAnsi="宋体"/>
          <w:sz w:val="24"/>
          <w:szCs w:val="24"/>
        </w:rPr>
        <w:t>方（</w:t>
      </w:r>
      <w:r>
        <w:rPr>
          <w:rFonts w:hint="eastAsia" w:hAnsi="宋体"/>
          <w:sz w:val="24"/>
          <w:szCs w:val="24"/>
          <w:lang w:val="en-US" w:eastAsia="zh-CN"/>
        </w:rPr>
        <w:t>以下简称</w:t>
      </w:r>
      <w:r>
        <w:rPr>
          <w:rFonts w:hAnsi="宋体"/>
          <w:sz w:val="24"/>
          <w:szCs w:val="24"/>
        </w:rPr>
        <w:t>乙方）：</w:t>
      </w:r>
      <w:r>
        <w:rPr>
          <w:sz w:val="24"/>
          <w:szCs w:val="24"/>
          <w:u w:val="single"/>
        </w:rPr>
        <w:t xml:space="preserve">                                       </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hAnsi="宋体" w:cs="宋体"/>
          <w:sz w:val="24"/>
          <w:szCs w:val="24"/>
          <w:lang w:val="en-US" w:eastAsia="zh-CN"/>
        </w:rPr>
        <w:t>询价文件</w:t>
      </w:r>
      <w:r>
        <w:rPr>
          <w:rFonts w:hint="eastAsia" w:ascii="宋体" w:hAnsi="宋体" w:eastAsia="宋体" w:cs="宋体"/>
          <w:sz w:val="24"/>
          <w:szCs w:val="24"/>
        </w:rPr>
        <w:t>》、《响应文件》</w:t>
      </w:r>
      <w:r>
        <w:rPr>
          <w:rFonts w:hint="eastAsia" w:ascii="宋体" w:hAnsi="宋体" w:eastAsia="宋体" w:cs="宋体"/>
          <w:sz w:val="24"/>
          <w:szCs w:val="24"/>
          <w:lang w:eastAsia="zh-CN"/>
        </w:rPr>
        <w:t>、</w:t>
      </w:r>
      <w:r>
        <w:rPr>
          <w:rFonts w:hint="eastAsia" w:ascii="宋体" w:hAnsi="宋体" w:eastAsia="宋体" w:cs="宋体"/>
          <w:sz w:val="24"/>
          <w:szCs w:val="24"/>
        </w:rPr>
        <w:t>《成交通知书》，甲、乙双方充分协商，合同附件及本项目的《</w:t>
      </w:r>
      <w:r>
        <w:rPr>
          <w:rFonts w:hint="eastAsia" w:hAnsi="宋体" w:cs="宋体"/>
          <w:sz w:val="24"/>
          <w:szCs w:val="24"/>
          <w:lang w:val="en-US" w:eastAsia="zh-CN"/>
        </w:rPr>
        <w:t>询价</w:t>
      </w:r>
      <w:r>
        <w:rPr>
          <w:rFonts w:hint="eastAsia" w:ascii="宋体" w:hAnsi="宋体" w:eastAsia="宋体" w:cs="宋体"/>
          <w:sz w:val="24"/>
          <w:szCs w:val="24"/>
          <w:lang w:val="en-US" w:eastAsia="zh-CN"/>
        </w:rPr>
        <w:t>文件</w:t>
      </w:r>
      <w:r>
        <w:rPr>
          <w:rFonts w:hint="eastAsia" w:ascii="宋体" w:hAnsi="宋体" w:eastAsia="宋体" w:cs="宋体"/>
          <w:sz w:val="24"/>
          <w:szCs w:val="24"/>
        </w:rPr>
        <w:t>》、《响应文件》、《成交通知书》等均为本合同不可分割的部分</w:t>
      </w:r>
      <w:r>
        <w:rPr>
          <w:rFonts w:hint="eastAsia" w:ascii="宋体" w:hAnsi="宋体" w:eastAsia="宋体" w:cs="宋体"/>
          <w:sz w:val="24"/>
          <w:szCs w:val="24"/>
          <w:lang w:eastAsia="zh-CN"/>
        </w:rPr>
        <w:t>。</w:t>
      </w:r>
    </w:p>
    <w:p>
      <w:pPr>
        <w:spacing w:line="400" w:lineRule="exact"/>
        <w:jc w:val="center"/>
        <w:rPr>
          <w:b/>
          <w:sz w:val="32"/>
          <w:szCs w:val="32"/>
        </w:rPr>
      </w:pPr>
      <w:r>
        <w:rPr>
          <w:rFonts w:hint="eastAsia"/>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4" w:name="_Toc6007"/>
      <w:r>
        <w:rPr>
          <w:rFonts w:hint="eastAsia" w:ascii="仿宋_GB2312" w:hAnsi="仿宋_GB2312" w:eastAsia="仿宋_GB2312" w:cs="仿宋_GB2312"/>
          <w:kern w:val="2"/>
          <w:sz w:val="28"/>
          <w:szCs w:val="28"/>
          <w:lang w:val="en-US" w:eastAsia="zh-CN" w:bidi="ar-SA"/>
        </w:rPr>
        <w:t>一、项目清单及合同金额</w:t>
      </w:r>
      <w:bookmarkEnd w:id="94"/>
      <w:r>
        <w:rPr>
          <w:rFonts w:hint="eastAsia" w:ascii="仿宋_GB2312" w:hAnsi="仿宋_GB2312" w:eastAsia="仿宋_GB2312" w:cs="仿宋_GB2312"/>
          <w:kern w:val="2"/>
          <w:sz w:val="28"/>
          <w:szCs w:val="28"/>
          <w:lang w:val="en-US" w:eastAsia="zh-CN" w:bidi="ar-SA"/>
        </w:rPr>
        <w:t xml:space="preserve">         </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1.项目名称：2026年江阳公园鲜花采购项目</w:t>
      </w:r>
    </w:p>
    <w:p>
      <w:pPr>
        <w:pStyle w:val="7"/>
        <w:keepNext w:val="0"/>
        <w:keepLines w:val="0"/>
        <w:pageBreakBefore w:val="0"/>
        <w:widowControl/>
        <w:kinsoku/>
        <w:wordWrap/>
        <w:overflowPunct/>
        <w:topLinePunct w:val="0"/>
        <w:autoSpaceDE/>
        <w:autoSpaceDN/>
        <w:bidi w:val="0"/>
        <w:adjustRightInd/>
        <w:snapToGrid/>
        <w:spacing w:after="0"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2.具体内容：</w:t>
      </w:r>
    </w:p>
    <w:tbl>
      <w:tblPr>
        <w:tblStyle w:val="21"/>
        <w:tblW w:w="9825"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664"/>
        <w:gridCol w:w="1383"/>
        <w:gridCol w:w="910"/>
        <w:gridCol w:w="1088"/>
        <w:gridCol w:w="1291"/>
        <w:gridCol w:w="1304"/>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产品名称</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品牌规格及型号</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含税单价（元）</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含税总价（元）</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报春花</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每株花卉均带黑色营养杯及托盘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一串红</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孔雀草</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45000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矮牵牛</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鸡冠花</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7500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1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合计</w:t>
            </w:r>
          </w:p>
        </w:tc>
        <w:tc>
          <w:tcPr>
            <w:tcW w:w="138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kern w:val="2"/>
                <w:sz w:val="28"/>
                <w:szCs w:val="28"/>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kern w:val="2"/>
                <w:sz w:val="28"/>
                <w:szCs w:val="28"/>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90000</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bl>
    <w:p>
      <w:pPr>
        <w:pStyle w:val="8"/>
        <w:rPr>
          <w:rFonts w:hint="eastAsia" w:ascii="仿宋_GB2312" w:hAnsi="仿宋_GB2312" w:eastAsia="仿宋_GB2312" w:cs="仿宋_GB2312"/>
          <w:kern w:val="2"/>
          <w:sz w:val="28"/>
          <w:szCs w:val="28"/>
          <w:lang w:val="en-US" w:eastAsia="zh-CN" w:bidi="ar-SA"/>
        </w:rPr>
      </w:pPr>
    </w:p>
    <w:p>
      <w:pPr>
        <w:pStyle w:val="5"/>
        <w:keepNext w:val="0"/>
        <w:keepLines w:val="0"/>
        <w:pageBreakBefore w:val="0"/>
        <w:widowControl/>
        <w:numPr>
          <w:ilvl w:val="0"/>
          <w:numId w:val="0"/>
        </w:numPr>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3.合同金额：暂定人民币  元（税率：%）(大写：元整)。包括但不限于苗木本体价格、包装费、资金占用费、运输费、装卸费（含上下车费）、辅助材料费、修剪、合理利润、增值税专用发票、风险费、技术指导费等费用以及询价文件规定的其他费用。颜色、数量以各节点采购人书面通知为准。</w:t>
      </w:r>
    </w:p>
    <w:p>
      <w:pPr>
        <w:pStyle w:val="5"/>
        <w:keepNext w:val="0"/>
        <w:keepLines w:val="0"/>
        <w:pageBreakBefore w:val="0"/>
        <w:widowControl/>
        <w:numPr>
          <w:ilvl w:val="0"/>
          <w:numId w:val="0"/>
        </w:numPr>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4.合同形式是单价合同，合同期内单价固定不变，实际采购数量按照验收合格交付使用的鲜花数量结算。货物的运输费用由乙方自行负责。</w:t>
      </w:r>
    </w:p>
    <w:p>
      <w:pPr>
        <w:pStyle w:val="5"/>
        <w:keepNext w:val="0"/>
        <w:keepLines w:val="0"/>
        <w:pageBreakBefore w:val="0"/>
        <w:widowControl/>
        <w:numPr>
          <w:ilvl w:val="0"/>
          <w:numId w:val="0"/>
        </w:numPr>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5.因甲方生产经营需要，需要在乙方采购合同清单以外的花卉品种，由双方共同认质认价确定。</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5" w:name="_Toc1640"/>
      <w:r>
        <w:rPr>
          <w:rFonts w:hint="eastAsia" w:ascii="仿宋_GB2312" w:hAnsi="仿宋_GB2312" w:eastAsia="仿宋_GB2312" w:cs="仿宋_GB2312"/>
          <w:kern w:val="2"/>
          <w:sz w:val="28"/>
          <w:szCs w:val="28"/>
          <w:lang w:val="en-US" w:eastAsia="zh-CN" w:bidi="ar-SA"/>
        </w:rPr>
        <w:t>二、付款方式及时间</w:t>
      </w:r>
      <w:bookmarkEnd w:id="95"/>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1.付款方式银行转账，账户信息见签署页。</w:t>
      </w:r>
      <w:r>
        <w:rPr>
          <w:rFonts w:hint="eastAsia" w:ascii="仿宋_GB2312" w:hAnsi="仿宋_GB2312" w:eastAsia="仿宋_GB2312" w:cs="仿宋_GB2312"/>
          <w:kern w:val="2"/>
          <w:sz w:val="28"/>
          <w:szCs w:val="28"/>
          <w:lang w:val="en-US" w:eastAsia="zh-CN" w:bidi="ar-SA"/>
        </w:rPr>
        <w:tab/>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2.付款时间：乙方根据甲方需求供货，按单次付款，乙方提供的鲜花经甲方验收合格，乙方提供等额票据后 （ </w:t>
      </w:r>
      <w:r>
        <w:rPr>
          <w:rFonts w:hint="eastAsia" w:ascii="仿宋_GB2312" w:hAnsi="仿宋_GB2312" w:eastAsia="仿宋_GB2312" w:cs="仿宋_GB2312"/>
          <w:kern w:val="2"/>
          <w:sz w:val="28"/>
          <w:szCs w:val="28"/>
          <w:lang w:val="en-US" w:eastAsia="zh-CN" w:bidi="ar-SA"/>
        </w:rPr>
        <w:sym w:font="Wingdings" w:char="00A8"/>
      </w:r>
      <w:r>
        <w:rPr>
          <w:rFonts w:hint="eastAsia" w:ascii="仿宋_GB2312" w:hAnsi="仿宋_GB2312" w:eastAsia="仿宋_GB2312" w:cs="仿宋_GB2312"/>
          <w:kern w:val="2"/>
          <w:sz w:val="28"/>
          <w:szCs w:val="28"/>
          <w:lang w:val="en-US" w:eastAsia="zh-CN" w:bidi="ar-SA"/>
        </w:rPr>
        <w:t xml:space="preserve">增值税普通发票  </w:t>
      </w:r>
      <w:r>
        <w:rPr>
          <w:rFonts w:hint="eastAsia" w:ascii="仿宋_GB2312" w:hAnsi="仿宋_GB2312" w:eastAsia="仿宋_GB2312" w:cs="仿宋_GB2312"/>
          <w:kern w:val="2"/>
          <w:sz w:val="28"/>
          <w:szCs w:val="28"/>
          <w:lang w:val="en-US" w:eastAsia="zh-CN" w:bidi="ar-SA"/>
        </w:rPr>
        <w:sym w:font="Wingdings" w:char="00FE"/>
      </w:r>
      <w:r>
        <w:rPr>
          <w:rFonts w:hint="eastAsia" w:ascii="仿宋_GB2312" w:hAnsi="仿宋_GB2312" w:eastAsia="仿宋_GB2312" w:cs="仿宋_GB2312"/>
          <w:kern w:val="2"/>
          <w:sz w:val="28"/>
          <w:szCs w:val="28"/>
          <w:lang w:val="en-US" w:eastAsia="zh-CN" w:bidi="ar-SA"/>
        </w:rPr>
        <w:t>增值税专用发票），甲方在15个工作日内一次性支付当次款项。</w:t>
      </w:r>
    </w:p>
    <w:p>
      <w:pPr>
        <w:pStyle w:val="7"/>
        <w:keepNext w:val="0"/>
        <w:keepLines w:val="0"/>
        <w:pageBreakBefore w:val="0"/>
        <w:widowControl/>
        <w:kinsoku/>
        <w:wordWrap/>
        <w:overflowPunct/>
        <w:topLinePunct w:val="0"/>
        <w:autoSpaceDE/>
        <w:autoSpaceDN/>
        <w:bidi w:val="0"/>
        <w:adjustRightInd/>
        <w:snapToGrid/>
        <w:spacing w:after="0"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3.乙方应提供等额的正式发票，否则甲方有权不付款。</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6" w:name="_Toc28473"/>
      <w:r>
        <w:rPr>
          <w:rFonts w:hint="eastAsia" w:ascii="仿宋_GB2312" w:hAnsi="仿宋_GB2312" w:eastAsia="仿宋_GB2312" w:cs="仿宋_GB2312"/>
          <w:kern w:val="2"/>
          <w:sz w:val="28"/>
          <w:szCs w:val="28"/>
          <w:lang w:val="en-US" w:eastAsia="zh-CN" w:bidi="ar-SA"/>
        </w:rPr>
        <w:t>三、交货时间、供货地点及交付方式</w:t>
      </w:r>
      <w:bookmarkEnd w:id="96"/>
    </w:p>
    <w:p>
      <w:pPr>
        <w:numPr>
          <w:ilvl w:val="0"/>
          <w:numId w:val="0"/>
        </w:numPr>
        <w:ind w:leftChars="0" w:firstLine="560" w:firstLineChars="200"/>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1.合同期限：</w:t>
      </w:r>
      <w:r>
        <w:rPr>
          <w:rFonts w:hint="eastAsia" w:ascii="仿宋_GB2312" w:hAnsi="仿宋_GB2312" w:eastAsia="仿宋_GB2312" w:cs="仿宋_GB2312"/>
          <w:b w:val="0"/>
          <w:bCs w:val="0"/>
          <w:color w:val="auto"/>
          <w:kern w:val="2"/>
          <w:sz w:val="28"/>
          <w:szCs w:val="28"/>
          <w:highlight w:val="none"/>
          <w:lang w:val="en-US" w:eastAsia="zh-CN" w:bidi="ar-SA"/>
        </w:rPr>
        <w:t>合同签订后1年，按采购人实际需求按次供货，每次供货需接到采购人通知后5个日历日内完成。</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2.交货时间：乙方在收到甲方通知后 5个工作日内完成供货。</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3.供货地点：江阳公园。</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4.交付方式：免费送货上门。</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5.货物的损毁灭失风险自乙方将货物运至甲方指定地点完毕，经甲验收合格签字后转移给甲方。</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u w:val="none"/>
          <w:lang w:val="en-US" w:eastAsia="zh-CN" w:bidi="ar-SA"/>
        </w:rPr>
      </w:pPr>
      <w:bookmarkStart w:id="97" w:name="_Toc5832"/>
      <w:r>
        <w:rPr>
          <w:rFonts w:hint="eastAsia" w:ascii="仿宋_GB2312" w:hAnsi="仿宋_GB2312" w:eastAsia="仿宋_GB2312" w:cs="仿宋_GB2312"/>
          <w:kern w:val="2"/>
          <w:sz w:val="28"/>
          <w:szCs w:val="28"/>
          <w:lang w:val="en-US" w:eastAsia="zh-CN" w:bidi="ar-SA"/>
        </w:rPr>
        <w:t>四、质量要求及履约验收</w:t>
      </w:r>
      <w:bookmarkEnd w:id="97"/>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u w:val="none"/>
          <w:lang w:val="en-US" w:eastAsia="zh-CN" w:bidi="ar-SA"/>
        </w:rPr>
        <w:t>1.质量要求：</w:t>
      </w:r>
      <w:r>
        <w:rPr>
          <w:rFonts w:hint="eastAsia" w:ascii="仿宋_GB2312" w:hAnsi="仿宋_GB2312" w:eastAsia="仿宋_GB2312" w:cs="仿宋_GB2312"/>
          <w:kern w:val="2"/>
          <w:sz w:val="28"/>
          <w:szCs w:val="28"/>
          <w:lang w:val="en-US" w:eastAsia="zh-CN" w:bidi="ar-SA"/>
        </w:rPr>
        <w:t>乙方向甲方提供的全部花卉必须品质优良，无灰尘和杂物、无病虫害、无枯枝黄叶，需保持旺盛的可观赏的生长形态。乙方需保证自验收起2个月内花卉存活率达到95%，如不达标，乙方需将枯萎或死亡的鲜花进行更换。</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2.甲方按国家相关标准自行组织有关专业人员验收。</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验收时如发现所交付的货物有不符合质量要求的，甲方有权拒绝接收货物，并要求乙方在规定期限内更换符合合同约定的货物（具体时间由双方协商）；乙方拒不更换的，甲方有权单方面解除合同并要求乙方承担违约责任。</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产品质量抽样验收合格，双方签署质量验收报告。</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3.甲方应自乙方履行完合同义务之日起3个工作日内组织验收，甲方无故逾期不进行验收工作的，视同验收合格。</w:t>
      </w:r>
    </w:p>
    <w:p>
      <w:pPr>
        <w:pStyle w:val="3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2"/>
          <w:sz w:val="28"/>
          <w:szCs w:val="28"/>
          <w:lang w:val="en-US" w:eastAsia="zh-CN" w:bidi="ar-SA"/>
        </w:rPr>
        <w:t>4.其他验收标准：</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五、履约保证金</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8" w:name="_Toc12608"/>
      <w:r>
        <w:rPr>
          <w:rFonts w:hint="eastAsia" w:ascii="仿宋_GB2312" w:hAnsi="仿宋_GB2312" w:eastAsia="仿宋_GB2312" w:cs="仿宋_GB2312"/>
          <w:kern w:val="2"/>
          <w:sz w:val="28"/>
          <w:szCs w:val="28"/>
          <w:lang w:val="en-US" w:eastAsia="zh-CN" w:bidi="ar-SA"/>
        </w:rPr>
        <w:t>1．合同签订前乙方应将 元（大写：人民币 元）汇入甲方指定的银行帐户作为履约保证金，期间不计算利息。</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2．在合同执行过程中如发生扣除履约保证金，扣除后乙方必须在下月补充交纳足额的履约金，若逾期未缴纳，甲方可以解除合同。</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3．本合同义务履约完毕后15日内，甲方将履约保证金全额无息汇入乙方指定的银行帐户上。</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六、相关权利及义务</w:t>
      </w:r>
      <w:bookmarkEnd w:id="98"/>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1.甲方在验收时对不符合质量要求的产品有权拒绝接收和追究违约责任。 </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2.甲方在合同规定期限内履行付款责任。</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3.甲方对乙方的技术及商业机密予以保密。</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4.乙方有权按照合同约定要求甲方及时支付相应合同款项。</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5.乙方有义务提供良好的售后服务。 </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6.乙方有义务提供符合标准的货物并对提供的货物承担质量保证责任。</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kern w:val="2"/>
          <w:sz w:val="28"/>
          <w:szCs w:val="28"/>
          <w:lang w:val="en-US" w:eastAsia="zh-CN" w:bidi="ar-SA"/>
        </w:rPr>
        <w:t>乙方需认真按要求保障安全，若发生任何安全事故，因此所产生的经济及法律责任，由乙方全部承担。</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9" w:name="_Toc18654"/>
      <w:r>
        <w:rPr>
          <w:rFonts w:hint="eastAsia" w:ascii="仿宋_GB2312" w:hAnsi="仿宋_GB2312" w:eastAsia="仿宋_GB2312" w:cs="仿宋_GB2312"/>
          <w:kern w:val="2"/>
          <w:sz w:val="28"/>
          <w:szCs w:val="28"/>
          <w:lang w:val="en-US" w:eastAsia="zh-CN" w:bidi="ar-SA"/>
        </w:rPr>
        <w:t>七、违约责任</w:t>
      </w:r>
      <w:bookmarkEnd w:id="99"/>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1、甲方违约责任</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(1)甲方无正当理由拒收货物的，甲方应偿付拒付货物总价5% 的违约金；</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(2)甲方逾期支付货款的，除应及时付足货款外，应向乙方偿付欠款总额  1‰/天的违约金，最高不超过未付合同金额的5%；</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(3)甲方偿付的违约金不足以弥补乙方直接经济损失的，还应按乙方直接经济损失尚未弥补的部分，支付赔偿金给乙方。</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2、乙方违约责任</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(1)乙方交付的货物质量不符合合同约定的，乙方应向甲方支付合同总价5%的违约金，并须在合同规定的交货时间内更换合格的货物给甲方，否则，甲方有权解除合同。</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（2）乙方逾期交付货物而违约的，乙方应按逾期交货总额的1‰/天向甲方支付违约金；累计不超过合同金额的5%。</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5%向甲方支付违约金并赔偿因此给甲方造成的一切损失。</w:t>
      </w:r>
    </w:p>
    <w:p>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（4）乙方偿付的违约金不足以弥补甲方损失的，还应按甲方损失尚未弥补的部分，支付赔偿金给甲方。</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八、合同标的减少与追加处理</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1.如因在合同履行过程中有变更，存在减少有关产品数量情况，按合同内单价对总价进行调减结算。</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2.如因在合同履行过程中，需追加与本合同标的相同的货物或者服务的，在不改变合同条款的前提下，经甲乙双方书面确认，按乙方合同内单价对总价进行调增进行结算。</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lang w:val="en-US" w:eastAsia="zh-CN"/>
        </w:rPr>
      </w:pPr>
      <w:r>
        <w:rPr>
          <w:rFonts w:hint="eastAsia" w:ascii="仿宋_GB2312" w:hAnsi="仿宋_GB2312" w:eastAsia="仿宋_GB2312" w:cs="仿宋_GB2312"/>
          <w:sz w:val="28"/>
          <w:szCs w:val="28"/>
          <w:lang w:val="en-US" w:eastAsia="zh-CN"/>
        </w:rPr>
        <w:t>3.如因在合同履行过程中，需增加与合同标的不同的货物，以双方签字确认的认质认价直接进入结算。</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0" w:name="_Toc15781"/>
      <w:r>
        <w:rPr>
          <w:rFonts w:hint="eastAsia" w:ascii="仿宋_GB2312" w:hAnsi="仿宋_GB2312" w:eastAsia="仿宋_GB2312" w:cs="仿宋_GB2312"/>
          <w:kern w:val="2"/>
          <w:sz w:val="28"/>
          <w:szCs w:val="28"/>
          <w:lang w:val="en-US" w:eastAsia="zh-CN" w:bidi="ar-SA"/>
        </w:rPr>
        <w:t>九、不可抗力</w:t>
      </w:r>
      <w:bookmarkEnd w:id="100"/>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由于不可抗力的原因不能履行合同时，双方互不负违约责任。因不可抗力不能履行一方应及时向另一方通报不能履行或不能完全履行的理由，具体履行时间由双方另行协商。</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1" w:name="_Toc6745"/>
      <w:r>
        <w:rPr>
          <w:rFonts w:hint="eastAsia" w:ascii="仿宋_GB2312" w:hAnsi="仿宋_GB2312" w:eastAsia="仿宋_GB2312" w:cs="仿宋_GB2312"/>
          <w:kern w:val="2"/>
          <w:sz w:val="28"/>
          <w:szCs w:val="28"/>
          <w:lang w:val="en-US" w:eastAsia="zh-CN" w:bidi="ar-SA"/>
        </w:rPr>
        <w:t>十、争议解决</w:t>
      </w:r>
      <w:bookmarkEnd w:id="101"/>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1.合同履行期间,若双方发生争议，双方本着友好合作的态度，对合同履行过程中发生的违约行为进行及时的协商解决，如不能协商解决可采取（1）方式解决。</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（1）向甲方所在地法院通过诉讼解决。</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（2）向泸州仲裁委提请仲裁解决。</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2.因一方违约，相对方通过司法途径实现债权而产生的诉讼有关费用，包括但不限于律师费、诉讼费、公告费等费用均由违约方承担。</w:t>
      </w:r>
    </w:p>
    <w:p>
      <w:pPr>
        <w:pStyle w:val="8"/>
        <w:keepNext w:val="0"/>
        <w:keepLines w:val="0"/>
        <w:pageBreakBefore w:val="0"/>
        <w:kinsoku/>
        <w:wordWrap/>
        <w:overflowPunct/>
        <w:topLinePunct w:val="0"/>
        <w:bidi w:val="0"/>
        <w:adjustRightInd/>
        <w:snapToGrid/>
        <w:spacing w:line="300" w:lineRule="exact"/>
        <w:textAlignment w:val="auto"/>
        <w:outlineLvl w:val="1"/>
        <w:rPr>
          <w:rFonts w:hint="eastAsia" w:ascii="仿宋_GB2312" w:hAnsi="仿宋_GB2312" w:eastAsia="仿宋_GB2312" w:cs="仿宋_GB2312"/>
          <w:kern w:val="2"/>
          <w:sz w:val="28"/>
          <w:szCs w:val="28"/>
          <w:lang w:val="en-US" w:eastAsia="zh-CN" w:bidi="ar-SA"/>
        </w:rPr>
      </w:pPr>
      <w:bookmarkStart w:id="102" w:name="_Toc18774"/>
      <w:r>
        <w:rPr>
          <w:rFonts w:hint="eastAsia" w:ascii="仿宋_GB2312" w:hAnsi="仿宋_GB2312" w:eastAsia="仿宋_GB2312" w:cs="仿宋_GB2312"/>
          <w:kern w:val="2"/>
          <w:sz w:val="28"/>
          <w:szCs w:val="28"/>
          <w:lang w:val="en-US" w:eastAsia="zh-CN" w:bidi="ar-SA"/>
        </w:rPr>
        <w:t>十一、廉洁协议</w:t>
      </w:r>
      <w:bookmarkEnd w:id="102"/>
    </w:p>
    <w:p>
      <w:pPr>
        <w:pStyle w:val="13"/>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3"/>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val="en-US" w:eastAsia="zh-CN" w:bidi="ar-SA"/>
        </w:rPr>
        <w:t>2.乙方及其工作人员如有违反本条款的，按合同暂定总金额的10%向甲方支付违约金，甲方有权解除与乙方的所有业务合同，由此所造成的一切经济损失均由乙方承担，同时甲方有权将乙方列入盛江集团不诚信供应商库，并永久排除在甲方业务范围之外。</w:t>
      </w:r>
    </w:p>
    <w:p>
      <w:pPr>
        <w:keepNext w:val="0"/>
        <w:keepLines w:val="0"/>
        <w:pageBreakBefore w:val="0"/>
        <w:numPr>
          <w:ilvl w:val="0"/>
          <w:numId w:val="0"/>
        </w:numPr>
        <w:kinsoku/>
        <w:wordWrap/>
        <w:overflowPunct/>
        <w:topLinePunct w:val="0"/>
        <w:bidi w:val="0"/>
        <w:adjustRightInd/>
        <w:snapToGrid/>
        <w:spacing w:line="300" w:lineRule="exact"/>
        <w:ind w:firstLine="560" w:firstLineChars="200"/>
        <w:textAlignment w:val="auto"/>
        <w:outlineLvl w:val="1"/>
        <w:rPr>
          <w:rFonts w:hint="eastAsia" w:ascii="仿宋_GB2312" w:hAnsi="仿宋_GB2312" w:eastAsia="仿宋_GB2312" w:cs="仿宋_GB2312"/>
          <w:kern w:val="2"/>
          <w:sz w:val="28"/>
          <w:szCs w:val="28"/>
          <w:lang w:val="en-US" w:eastAsia="zh-CN" w:bidi="ar-SA"/>
        </w:rPr>
      </w:pPr>
      <w:bookmarkStart w:id="103" w:name="_Toc19077"/>
      <w:r>
        <w:rPr>
          <w:rFonts w:hint="eastAsia" w:ascii="仿宋_GB2312" w:hAnsi="仿宋_GB2312" w:eastAsia="仿宋_GB2312" w:cs="仿宋_GB2312"/>
          <w:kern w:val="2"/>
          <w:sz w:val="28"/>
          <w:szCs w:val="28"/>
          <w:lang w:val="en-US" w:eastAsia="zh-CN" w:bidi="ar-SA"/>
        </w:rPr>
        <w:t>十二、合同解除、变更、终止条款：</w:t>
      </w:r>
      <w:bookmarkEnd w:id="103"/>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1.如出现下列任意情形，相对方均有权解除合同，并要求违约方承担违约责任。</w:t>
      </w:r>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甲方未按约定支付合同款项的，经催告后20天仍未支付的。</w:t>
      </w:r>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 乙方未按约定时间提供服务/货物，经催告履行20天仍未履行的。</w:t>
      </w:r>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1.3任意一方书面或其他方式明示不履行合同约定的。</w:t>
      </w:r>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2合同任意一方对约定事项需进行变更的，应双方友好协商，形成书面变更协议。</w:t>
      </w:r>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3合同约定义务双方均已经履行完毕，就所有权利义务事宜无遗留问题，合同终止。</w:t>
      </w:r>
    </w:p>
    <w:p>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1.4其他约定的特殊情形。</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4" w:name="_Toc17462"/>
      <w:r>
        <w:rPr>
          <w:rFonts w:hint="eastAsia" w:ascii="仿宋_GB2312" w:hAnsi="仿宋_GB2312" w:eastAsia="仿宋_GB2312" w:cs="仿宋_GB2312"/>
          <w:kern w:val="2"/>
          <w:sz w:val="28"/>
          <w:szCs w:val="28"/>
          <w:lang w:val="en-US" w:eastAsia="zh-CN" w:bidi="ar-SA"/>
        </w:rPr>
        <w:t>十三、通知和送达</w:t>
      </w:r>
      <w:bookmarkEnd w:id="104"/>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（1）以特快专递或挂号信方式发出的，以收件人签收日为送达日；收件人未签收的，以寄出日后的第五个工作日视为送达；</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（2）以传真或电子邮件方式发出的，以发出方收到传真或电子邮件发出确认回执时视为送达；</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（3）如对方不在的，由对方公司职工签收，若对方拒绝签收的，由两名送达工作人员签字见证，留置送达。                                                      </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同时采用上述几种方式的，以其中最快到达对方的为准。</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本条款项下的联系方式发生变更，变更方应及时书面通知另一方。另一方在收到有关变更前的联系方式所发出的往来文件视为有效。</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3.本合同所载地址也是双方发生纠纷司法机关司法文书送达地址。</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5" w:name="_Toc10330"/>
      <w:r>
        <w:rPr>
          <w:rFonts w:hint="eastAsia" w:ascii="仿宋_GB2312" w:hAnsi="仿宋_GB2312" w:eastAsia="仿宋_GB2312" w:cs="仿宋_GB2312"/>
          <w:kern w:val="2"/>
          <w:sz w:val="28"/>
          <w:szCs w:val="28"/>
          <w:lang w:val="en-US" w:eastAsia="zh-CN" w:bidi="ar-SA"/>
        </w:rPr>
        <w:t>十四、其它事项</w:t>
      </w:r>
      <w:bookmarkEnd w:id="105"/>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1.本合同一式四份，甲方执三份，乙方执一份，具有同等法律效力。</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2.本合同自法定（授权）代表签章并加盖公司印章之日起生效。</w:t>
      </w:r>
    </w:p>
    <w:p>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3.其它未尽事宜，由双方友好协商解决，并签订补充协议。</w:t>
      </w:r>
    </w:p>
    <w:p>
      <w:pPr>
        <w:pStyle w:val="1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1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color w:val="auto"/>
          <w:sz w:val="28"/>
          <w:szCs w:val="28"/>
          <w:highlight w:val="none"/>
        </w:rPr>
      </w:pP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甲方（盖章）</w:t>
            </w:r>
          </w:p>
        </w:tc>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法定（授权）</w:t>
            </w:r>
          </w:p>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代表签字：</w:t>
            </w:r>
          </w:p>
        </w:tc>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法定（授权）</w:t>
            </w:r>
          </w:p>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开户行：泸州银行营业部</w:t>
            </w:r>
          </w:p>
        </w:tc>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开户账号：</w:t>
            </w:r>
            <w:r>
              <w:rPr>
                <w:rFonts w:hint="eastAsia" w:ascii="仿宋_GB2312" w:hAnsi="仿宋_GB2312" w:eastAsia="仿宋_GB2312" w:cs="仿宋_GB2312"/>
                <w:sz w:val="28"/>
                <w:szCs w:val="28"/>
                <w:vertAlign w:val="baseline"/>
                <w:lang w:val="en-US" w:eastAsia="zh-CN"/>
              </w:rPr>
              <w:t>2010900000165766</w:t>
            </w:r>
          </w:p>
        </w:tc>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日期：</w:t>
            </w:r>
          </w:p>
        </w:tc>
        <w:tc>
          <w:tcPr>
            <w:tcW w:w="4264" w:type="dxa"/>
            <w:tcBorders>
              <w:top w:val="nil"/>
              <w:left w:val="nil"/>
              <w:bottom w:val="nil"/>
              <w:right w:val="nil"/>
            </w:tcBorders>
            <w:noWrap w:val="0"/>
            <w:vAlign w:val="bottom"/>
          </w:tcPr>
          <w:p>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日期：</w:t>
            </w:r>
          </w:p>
        </w:tc>
      </w:tr>
    </w:tbl>
    <w:p>
      <w:pPr>
        <w:rPr>
          <w:rFonts w:eastAsia="黑体"/>
          <w:color w:val="auto"/>
          <w:highlight w:val="none"/>
        </w:rPr>
      </w:pPr>
    </w:p>
    <w:p>
      <w:pPr>
        <w:jc w:val="both"/>
        <w:rPr>
          <w:rFonts w:hint="eastAsia" w:eastAsia="方正小标宋简体"/>
          <w:sz w:val="84"/>
          <w:szCs w:val="84"/>
          <w:lang w:val="en-US" w:eastAsia="zh-CN"/>
        </w:rPr>
      </w:pPr>
    </w:p>
    <w:p>
      <w:pPr>
        <w:rPr>
          <w:rFonts w:hint="default"/>
          <w:lang w:val="en-US" w:eastAsia="zh-CN"/>
        </w:rPr>
      </w:pPr>
    </w:p>
    <w:p>
      <w:pPr>
        <w:pStyle w:val="27"/>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4"/>
      </w:rPr>
    </w:pPr>
    <w:r>
      <w:fldChar w:fldCharType="begin"/>
    </w:r>
    <w:r>
      <w:rPr>
        <w:rStyle w:val="24"/>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7C95A6CC"/>
    <w:multiLevelType w:val="singleLevel"/>
    <w:tmpl w:val="7C95A6C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150107B"/>
    <w:rsid w:val="02415EFD"/>
    <w:rsid w:val="03872335"/>
    <w:rsid w:val="03C40ABE"/>
    <w:rsid w:val="041B7553"/>
    <w:rsid w:val="04730898"/>
    <w:rsid w:val="0623364B"/>
    <w:rsid w:val="065B4C54"/>
    <w:rsid w:val="06751FF4"/>
    <w:rsid w:val="0695059B"/>
    <w:rsid w:val="07B73987"/>
    <w:rsid w:val="07D53494"/>
    <w:rsid w:val="080F4E9D"/>
    <w:rsid w:val="08EA75D7"/>
    <w:rsid w:val="091F0582"/>
    <w:rsid w:val="09736C45"/>
    <w:rsid w:val="0CE73421"/>
    <w:rsid w:val="0D6735B1"/>
    <w:rsid w:val="0E7147C3"/>
    <w:rsid w:val="0FE635D7"/>
    <w:rsid w:val="100906BA"/>
    <w:rsid w:val="106A7BFD"/>
    <w:rsid w:val="10D61295"/>
    <w:rsid w:val="128A78B7"/>
    <w:rsid w:val="12BA6738"/>
    <w:rsid w:val="12BD0D0D"/>
    <w:rsid w:val="13453400"/>
    <w:rsid w:val="13D6505B"/>
    <w:rsid w:val="16226D6D"/>
    <w:rsid w:val="167548C9"/>
    <w:rsid w:val="169F22A5"/>
    <w:rsid w:val="177C0207"/>
    <w:rsid w:val="18844866"/>
    <w:rsid w:val="19DC42E6"/>
    <w:rsid w:val="1B807F1F"/>
    <w:rsid w:val="1B9C546A"/>
    <w:rsid w:val="1C250273"/>
    <w:rsid w:val="1C8925AF"/>
    <w:rsid w:val="1D55206F"/>
    <w:rsid w:val="1F064996"/>
    <w:rsid w:val="20134402"/>
    <w:rsid w:val="20526376"/>
    <w:rsid w:val="20CA48D9"/>
    <w:rsid w:val="225A6FB5"/>
    <w:rsid w:val="22705D9B"/>
    <w:rsid w:val="245F02D1"/>
    <w:rsid w:val="24A24B56"/>
    <w:rsid w:val="2648711A"/>
    <w:rsid w:val="269651A2"/>
    <w:rsid w:val="27286C73"/>
    <w:rsid w:val="278E13C2"/>
    <w:rsid w:val="28F144E7"/>
    <w:rsid w:val="29F86FC6"/>
    <w:rsid w:val="2AB87296"/>
    <w:rsid w:val="2C0254A2"/>
    <w:rsid w:val="2C536E13"/>
    <w:rsid w:val="2D80355B"/>
    <w:rsid w:val="2DC07DFB"/>
    <w:rsid w:val="300C2CDF"/>
    <w:rsid w:val="301F1190"/>
    <w:rsid w:val="30F962A3"/>
    <w:rsid w:val="339C5F2C"/>
    <w:rsid w:val="37F334D9"/>
    <w:rsid w:val="387E4D20"/>
    <w:rsid w:val="3ACF3768"/>
    <w:rsid w:val="3B5418DC"/>
    <w:rsid w:val="3C073DA3"/>
    <w:rsid w:val="3DA80CEA"/>
    <w:rsid w:val="3DB33DBB"/>
    <w:rsid w:val="3DF8538F"/>
    <w:rsid w:val="3E531CD6"/>
    <w:rsid w:val="3E9F580B"/>
    <w:rsid w:val="3EA019BA"/>
    <w:rsid w:val="3ECB3DA6"/>
    <w:rsid w:val="3EFF77AB"/>
    <w:rsid w:val="40FB0687"/>
    <w:rsid w:val="431B31A5"/>
    <w:rsid w:val="44801B9E"/>
    <w:rsid w:val="460B1E98"/>
    <w:rsid w:val="46EA5108"/>
    <w:rsid w:val="47424E69"/>
    <w:rsid w:val="48F367B7"/>
    <w:rsid w:val="49F02469"/>
    <w:rsid w:val="4A1B366C"/>
    <w:rsid w:val="4A5E5657"/>
    <w:rsid w:val="4C4D2043"/>
    <w:rsid w:val="4CE30FB8"/>
    <w:rsid w:val="4DF0642D"/>
    <w:rsid w:val="4F961947"/>
    <w:rsid w:val="508969F8"/>
    <w:rsid w:val="52D9650F"/>
    <w:rsid w:val="5493329A"/>
    <w:rsid w:val="568C3D27"/>
    <w:rsid w:val="59C13496"/>
    <w:rsid w:val="5C317F92"/>
    <w:rsid w:val="5CCF509C"/>
    <w:rsid w:val="5FF878AC"/>
    <w:rsid w:val="60E94998"/>
    <w:rsid w:val="617E1C77"/>
    <w:rsid w:val="62C43738"/>
    <w:rsid w:val="63035AB9"/>
    <w:rsid w:val="6304347E"/>
    <w:rsid w:val="636D52A1"/>
    <w:rsid w:val="63717038"/>
    <w:rsid w:val="63C90AB0"/>
    <w:rsid w:val="63CD5D94"/>
    <w:rsid w:val="64D45231"/>
    <w:rsid w:val="64E97686"/>
    <w:rsid w:val="64F97F24"/>
    <w:rsid w:val="66FD5AC7"/>
    <w:rsid w:val="67035F76"/>
    <w:rsid w:val="678F4177"/>
    <w:rsid w:val="67F0736A"/>
    <w:rsid w:val="683827EB"/>
    <w:rsid w:val="687D677B"/>
    <w:rsid w:val="68EF39A0"/>
    <w:rsid w:val="69B37FF0"/>
    <w:rsid w:val="6BCF6C97"/>
    <w:rsid w:val="6BFE2437"/>
    <w:rsid w:val="6C454C12"/>
    <w:rsid w:val="6D640887"/>
    <w:rsid w:val="6DB32E65"/>
    <w:rsid w:val="6DE71C05"/>
    <w:rsid w:val="6E9249E5"/>
    <w:rsid w:val="70AE57F8"/>
    <w:rsid w:val="71813D5A"/>
    <w:rsid w:val="718D5AF3"/>
    <w:rsid w:val="71A73CE2"/>
    <w:rsid w:val="71A8567D"/>
    <w:rsid w:val="74904385"/>
    <w:rsid w:val="76AA31A6"/>
    <w:rsid w:val="77B82128"/>
    <w:rsid w:val="78650950"/>
    <w:rsid w:val="79902F7E"/>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7"/>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styleId="27">
    <w:name w:val="List Paragraph"/>
    <w:basedOn w:val="1"/>
    <w:qFormat/>
    <w:uiPriority w:val="1"/>
    <w:pPr>
      <w:ind w:firstLine="420" w:firstLineChars="200"/>
    </w:pPr>
    <w:rPr>
      <w:rFonts w:ascii="Calibri" w:hAnsi="Calibri"/>
      <w:szCs w:val="22"/>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Char"/>
    <w:link w:val="4"/>
    <w:qFormat/>
    <w:uiPriority w:val="9"/>
    <w:rPr>
      <w:b/>
      <w:bCs/>
      <w:sz w:val="32"/>
      <w:szCs w:val="32"/>
    </w:rPr>
  </w:style>
  <w:style w:type="character" w:customStyle="1" w:styleId="32">
    <w:name w:val="font31"/>
    <w:basedOn w:val="23"/>
    <w:qFormat/>
    <w:uiPriority w:val="0"/>
    <w:rPr>
      <w:rFonts w:hint="eastAsia" w:ascii="宋体" w:hAnsi="宋体" w:eastAsia="宋体" w:cs="宋体"/>
      <w:color w:val="000000"/>
      <w:sz w:val="22"/>
      <w:szCs w:val="22"/>
      <w:u w:val="none"/>
    </w:rPr>
  </w:style>
  <w:style w:type="character" w:customStyle="1" w:styleId="33">
    <w:name w:val="font61"/>
    <w:basedOn w:val="23"/>
    <w:qFormat/>
    <w:uiPriority w:val="0"/>
    <w:rPr>
      <w:rFonts w:ascii="微软雅黑" w:hAnsi="微软雅黑" w:eastAsia="微软雅黑" w:cs="微软雅黑"/>
      <w:color w:val="000000"/>
      <w:sz w:val="22"/>
      <w:szCs w:val="22"/>
      <w:u w:val="none"/>
    </w:rPr>
  </w:style>
  <w:style w:type="character" w:customStyle="1" w:styleId="34">
    <w:name w:val="font21"/>
    <w:basedOn w:val="23"/>
    <w:qFormat/>
    <w:uiPriority w:val="0"/>
    <w:rPr>
      <w:rFonts w:hint="eastAsia" w:ascii="宋体" w:hAnsi="宋体" w:eastAsia="宋体" w:cs="宋体"/>
      <w:color w:val="000000"/>
      <w:sz w:val="22"/>
      <w:szCs w:val="22"/>
      <w:u w:val="none"/>
    </w:rPr>
  </w:style>
  <w:style w:type="character" w:customStyle="1" w:styleId="35">
    <w:name w:val="font71"/>
    <w:basedOn w:val="23"/>
    <w:qFormat/>
    <w:uiPriority w:val="0"/>
    <w:rPr>
      <w:rFonts w:hint="eastAsia" w:ascii="微软雅黑" w:hAnsi="微软雅黑" w:eastAsia="微软雅黑" w:cs="微软雅黑"/>
      <w:color w:val="000000"/>
      <w:sz w:val="22"/>
      <w:szCs w:val="22"/>
      <w:u w:val="none"/>
    </w:rPr>
  </w:style>
  <w:style w:type="paragraph" w:customStyle="1" w:styleId="36">
    <w:name w:val="列出段落1"/>
    <w:basedOn w:val="1"/>
    <w:qFormat/>
    <w:uiPriority w:val="34"/>
    <w:pPr>
      <w:ind w:firstLine="420" w:firstLineChars="200"/>
    </w:pPr>
    <w:rPr>
      <w:rFonts w:ascii="Calibri" w:hAnsi="Calibri" w:eastAsia="宋体" w:cs="Times New Roman"/>
      <w:szCs w:val="22"/>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character" w:customStyle="1" w:styleId="38">
    <w:name w:val="font11"/>
    <w:basedOn w:val="23"/>
    <w:qFormat/>
    <w:uiPriority w:val="0"/>
    <w:rPr>
      <w:rFonts w:hint="eastAsia" w:ascii="宋体" w:hAnsi="宋体" w:eastAsia="宋体" w:cs="宋体"/>
      <w:color w:val="000000"/>
      <w:sz w:val="28"/>
      <w:szCs w:val="28"/>
      <w:u w:val="none"/>
    </w:rPr>
  </w:style>
  <w:style w:type="character" w:customStyle="1" w:styleId="39">
    <w:name w:val="样式 宋体 小四"/>
    <w:qFormat/>
    <w:uiPriority w:val="0"/>
    <w:rPr>
      <w:sz w:val="24"/>
    </w:rPr>
  </w:style>
  <w:style w:type="character" w:customStyle="1" w:styleId="4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12617</Words>
  <Characters>13584</Characters>
  <Lines>0</Lines>
  <Paragraphs>0</Paragraphs>
  <TotalTime>5</TotalTime>
  <ScaleCrop>false</ScaleCrop>
  <LinksUpToDate>false</LinksUpToDate>
  <CharactersWithSpaces>13857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ysx</cp:lastModifiedBy>
  <cp:lastPrinted>2026-01-04T01:05:00Z</cp:lastPrinted>
  <dcterms:modified xsi:type="dcterms:W3CDTF">2026-01-13T00:45:09Z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F5EFCC00A61A4794AF9A8333BF5CF3E3_13</vt:lpwstr>
  </property>
  <property fmtid="{D5CDD505-2E9C-101B-9397-08002B2CF9AE}" pid="4" name="KSOTemplateDocerSaveRecord">
    <vt:lpwstr>eyJoZGlkIjoiMDE5NGY0MDg5NGE5MTI2YmFjYTRmYWE4MmQ1MGVhMmMiLCJ1c2VySWQiOiIxMTcyOTM5MTgxIn0=</vt:lpwstr>
  </property>
</Properties>
</file>