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b/>
          <w:color w:val="auto"/>
          <w:sz w:val="32"/>
          <w:szCs w:val="32"/>
          <w:highlight w:val="none"/>
          <w:lang w:val="en-US" w:eastAsia="zh-CN"/>
        </w:rPr>
        <w:t>XYCG【2026】024</w:t>
      </w:r>
      <w:r>
        <w:rPr>
          <w:rFonts w:hint="eastAsia"/>
          <w:b/>
          <w:color w:val="auto"/>
          <w:sz w:val="32"/>
          <w:szCs w:val="32"/>
          <w:highlight w:val="none"/>
        </w:rPr>
        <w:t>号</w:t>
      </w:r>
    </w:p>
    <w:p>
      <w:pPr>
        <w:pStyle w:val="4"/>
        <w:spacing w:line="360" w:lineRule="auto"/>
        <w:rPr>
          <w:rFonts w:hint="default" w:eastAsia="宋体"/>
          <w:color w:val="auto"/>
          <w:highlight w:val="none"/>
          <w:lang w:val="en-US" w:eastAsia="zh-CN"/>
        </w:rPr>
      </w:pPr>
    </w:p>
    <w:p>
      <w:pPr>
        <w:pStyle w:val="5"/>
        <w:rPr>
          <w:rFonts w:hint="default" w:eastAsia="宋体"/>
          <w:color w:val="auto"/>
          <w:highlight w:val="none"/>
          <w:lang w:val="en-US" w:eastAsia="zh-CN"/>
        </w:rPr>
      </w:pPr>
    </w:p>
    <w:p>
      <w:pPr>
        <w:spacing w:line="276" w:lineRule="auto"/>
        <w:jc w:val="center"/>
        <w:rPr>
          <w:rFonts w:hint="default" w:ascii="宋体"/>
          <w:b/>
          <w:color w:val="auto"/>
          <w:sz w:val="84"/>
          <w:szCs w:val="84"/>
          <w:highlight w:val="none"/>
          <w:lang w:val="en-US" w:eastAsia="zh-CN"/>
        </w:rPr>
      </w:pPr>
      <w:r>
        <w:rPr>
          <w:rFonts w:hint="eastAsia" w:ascii="宋体"/>
          <w:b/>
          <w:color w:val="auto"/>
          <w:sz w:val="84"/>
          <w:szCs w:val="84"/>
          <w:highlight w:val="none"/>
          <w:lang w:val="en-US" w:eastAsia="zh-CN"/>
        </w:rPr>
        <w:t>江阳公园污水泵维修项目</w:t>
      </w: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lang w:val="en-US" w:eastAsia="zh-CN"/>
        </w:rPr>
        <w:t>泸州市江阳区醉美城市公园管理有限公司</w:t>
      </w:r>
      <w:r>
        <w:rPr>
          <w:rFonts w:hint="eastAsia"/>
          <w:b/>
          <w:color w:val="auto"/>
          <w:sz w:val="32"/>
          <w:szCs w:val="32"/>
          <w:highlight w:val="none"/>
        </w:rPr>
        <w:t xml:space="preserve">  </w:t>
      </w:r>
      <w:r>
        <w:rPr>
          <w:b/>
          <w:color w:val="auto"/>
          <w:sz w:val="32"/>
          <w:szCs w:val="32"/>
          <w:highlight w:val="none"/>
        </w:rPr>
        <w:t>编制</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2026</w:t>
      </w:r>
      <w:r>
        <w:rPr>
          <w:rFonts w:hint="eastAsia"/>
          <w:b/>
          <w:color w:val="auto"/>
          <w:sz w:val="32"/>
          <w:szCs w:val="32"/>
          <w:highlight w:val="none"/>
        </w:rPr>
        <w:t>年</w:t>
      </w:r>
      <w:r>
        <w:rPr>
          <w:rFonts w:hint="eastAsia"/>
          <w:b/>
          <w:color w:val="auto"/>
          <w:sz w:val="32"/>
          <w:szCs w:val="32"/>
          <w:highlight w:val="none"/>
          <w:lang w:val="en-US" w:eastAsia="zh-CN"/>
        </w:rPr>
        <w:t>03</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843627"/>
      <w:bookmarkEnd w:id="0"/>
      <w:bookmarkStart w:id="1" w:name="_Hlt101233737"/>
      <w:bookmarkEnd w:id="1"/>
      <w:bookmarkStart w:id="2" w:name="_Toc3901"/>
      <w:bookmarkStart w:id="3" w:name="_Toc91771145"/>
      <w:bookmarkStart w:id="4" w:name="_Toc2899"/>
      <w:r>
        <w:rPr>
          <w:rFonts w:hint="eastAsia" w:ascii="黑体" w:hAnsi="黑体" w:eastAsia="黑体"/>
          <w:color w:val="auto"/>
          <w:sz w:val="36"/>
          <w:highlight w:val="none"/>
        </w:rPr>
        <w:t>目 录</w:t>
      </w:r>
      <w:bookmarkEnd w:id="2"/>
      <w:bookmarkEnd w:id="3"/>
      <w:bookmarkEnd w:id="4"/>
    </w:p>
    <w:p>
      <w:pPr>
        <w:pStyle w:val="13"/>
        <w:tabs>
          <w:tab w:val="right" w:leader="dot" w:pos="8306"/>
        </w:tabs>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_Toc3901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目 录</w:t>
      </w:r>
      <w:r>
        <w:tab/>
      </w:r>
      <w:r>
        <w:fldChar w:fldCharType="begin"/>
      </w:r>
      <w:r>
        <w:instrText xml:space="preserve"> PAGEREF _Toc3901 \h </w:instrText>
      </w:r>
      <w:r>
        <w:fldChar w:fldCharType="separate"/>
      </w:r>
      <w:r>
        <w:t>1</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第一章 询价邀请公告</w:t>
      </w:r>
      <w:r>
        <w:tab/>
      </w:r>
      <w:r>
        <w:fldChar w:fldCharType="begin"/>
      </w:r>
      <w:r>
        <w:instrText xml:space="preserve"> PAGEREF _Toc79 \h </w:instrText>
      </w:r>
      <w:r>
        <w:fldChar w:fldCharType="separate"/>
      </w:r>
      <w:r>
        <w:t>2</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_Toc29924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第二章 询价须知</w:t>
      </w:r>
      <w:r>
        <w:tab/>
      </w:r>
      <w:r>
        <w:fldChar w:fldCharType="begin"/>
      </w:r>
      <w:r>
        <w:instrText xml:space="preserve"> PAGEREF _Toc29924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_Toc9848 </w:instrText>
      </w:r>
      <w:r>
        <w:rPr>
          <w:rFonts w:hint="eastAsia" w:ascii="宋体" w:hAnsi="宋体" w:eastAsia="宋体" w:cs="宋体"/>
          <w:kern w:val="2"/>
          <w:szCs w:val="24"/>
          <w:highlight w:val="none"/>
        </w:rPr>
        <w:fldChar w:fldCharType="separate"/>
      </w:r>
      <w:r>
        <w:rPr>
          <w:rFonts w:hint="eastAsia" w:ascii="宋体" w:hAnsi="宋体"/>
          <w:highlight w:val="none"/>
        </w:rPr>
        <w:t>一、供应商须知前附表</w:t>
      </w:r>
      <w:r>
        <w:tab/>
      </w:r>
      <w:r>
        <w:fldChar w:fldCharType="begin"/>
      </w:r>
      <w:r>
        <w:instrText xml:space="preserve"> PAGEREF _Toc9848 \h </w:instrText>
      </w:r>
      <w:r>
        <w:fldChar w:fldCharType="separate"/>
      </w:r>
      <w:r>
        <w:t>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_Toc28598 </w:instrText>
      </w:r>
      <w:r>
        <w:rPr>
          <w:rFonts w:hint="eastAsia" w:ascii="宋体" w:hAnsi="宋体" w:eastAsia="宋体" w:cs="宋体"/>
          <w:kern w:val="2"/>
          <w:szCs w:val="24"/>
          <w:highlight w:val="none"/>
        </w:rPr>
        <w:fldChar w:fldCharType="separate"/>
      </w:r>
      <w:r>
        <w:rPr>
          <w:rFonts w:hint="eastAsia" w:ascii="宋体" w:hAnsi="宋体"/>
          <w:highlight w:val="none"/>
        </w:rPr>
        <w:t>二、总则</w:t>
      </w:r>
      <w:r>
        <w:tab/>
      </w:r>
      <w:r>
        <w:fldChar w:fldCharType="begin"/>
      </w:r>
      <w:r>
        <w:instrText xml:space="preserve"> PAGEREF _Toc28598 \h </w:instrText>
      </w:r>
      <w:r>
        <w:fldChar w:fldCharType="separate"/>
      </w:r>
      <w:r>
        <w:t>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_Toc5695 </w:instrText>
      </w:r>
      <w:r>
        <w:rPr>
          <w:rFonts w:hint="eastAsia" w:ascii="宋体" w:hAnsi="宋体" w:eastAsia="宋体" w:cs="宋体"/>
          <w:kern w:val="2"/>
          <w:szCs w:val="24"/>
          <w:highlight w:val="none"/>
        </w:rPr>
        <w:fldChar w:fldCharType="separate"/>
      </w:r>
      <w:r>
        <w:rPr>
          <w:rFonts w:ascii="宋体" w:hAnsi="宋体"/>
          <w:highlight w:val="none"/>
        </w:rPr>
        <w:t>三、询价文件</w:t>
      </w:r>
      <w:r>
        <w:tab/>
      </w:r>
      <w:r>
        <w:fldChar w:fldCharType="begin"/>
      </w:r>
      <w:r>
        <w:instrText xml:space="preserve"> PAGEREF _Toc5695 \h </w:instrText>
      </w:r>
      <w:r>
        <w:fldChar w:fldCharType="separate"/>
      </w:r>
      <w:r>
        <w:t>11</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_Toc1862 </w:instrText>
      </w:r>
      <w:r>
        <w:rPr>
          <w:rFonts w:hint="eastAsia" w:ascii="宋体" w:hAnsi="宋体" w:eastAsia="宋体" w:cs="宋体"/>
          <w:kern w:val="2"/>
          <w:szCs w:val="24"/>
          <w:highlight w:val="none"/>
        </w:rPr>
        <w:fldChar w:fldCharType="separate"/>
      </w:r>
      <w:r>
        <w:rPr>
          <w:rFonts w:ascii="宋体" w:hAnsi="宋体"/>
          <w:highlight w:val="none"/>
        </w:rPr>
        <w:t>四、询价响应文件</w:t>
      </w:r>
      <w:r>
        <w:tab/>
      </w:r>
      <w:r>
        <w:fldChar w:fldCharType="begin"/>
      </w:r>
      <w:r>
        <w:instrText xml:space="preserve"> PAGEREF _Toc1862 \h </w:instrText>
      </w:r>
      <w:r>
        <w:fldChar w:fldCharType="separate"/>
      </w:r>
      <w:r>
        <w:t>12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_Toc1015 </w:instrText>
      </w:r>
      <w:r>
        <w:rPr>
          <w:rFonts w:hint="eastAsia" w:ascii="宋体" w:hAnsi="宋体" w:eastAsia="宋体" w:cs="宋体"/>
          <w:kern w:val="2"/>
          <w:szCs w:val="24"/>
          <w:highlight w:val="none"/>
        </w:rPr>
        <w:fldChar w:fldCharType="separate"/>
      </w:r>
      <w:r>
        <w:rPr>
          <w:rFonts w:ascii="宋体" w:hAnsi="宋体"/>
          <w:highlight w:val="none"/>
        </w:rPr>
        <w:t>五、询价及评审过程</w:t>
      </w:r>
      <w:r>
        <w:tab/>
      </w:r>
      <w:r>
        <w:fldChar w:fldCharType="begin"/>
      </w:r>
      <w:r>
        <w:instrText xml:space="preserve"> PAGEREF _Toc1015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_Toc25990 </w:instrText>
      </w:r>
      <w:r>
        <w:rPr>
          <w:rFonts w:hint="eastAsia" w:ascii="宋体" w:hAnsi="宋体" w:eastAsia="宋体" w:cs="宋体"/>
          <w:kern w:val="2"/>
          <w:szCs w:val="24"/>
          <w:highlight w:val="none"/>
        </w:rPr>
        <w:fldChar w:fldCharType="separate"/>
      </w:r>
      <w:r>
        <w:rPr>
          <w:rFonts w:ascii="宋体" w:hAnsi="宋体"/>
          <w:highlight w:val="none"/>
        </w:rPr>
        <w:t>六、成交事项</w:t>
      </w:r>
      <w:r>
        <w:tab/>
      </w:r>
      <w:r>
        <w:fldChar w:fldCharType="begin"/>
      </w:r>
      <w:r>
        <w:instrText xml:space="preserve"> PAGEREF _Toc25990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_Toc9508 </w:instrText>
      </w:r>
      <w:r>
        <w:rPr>
          <w:rFonts w:hint="eastAsia" w:ascii="宋体" w:hAnsi="宋体" w:eastAsia="宋体" w:cs="宋体"/>
          <w:kern w:val="2"/>
          <w:szCs w:val="24"/>
          <w:highlight w:val="none"/>
        </w:rPr>
        <w:fldChar w:fldCharType="separate"/>
      </w:r>
      <w:r>
        <w:rPr>
          <w:rFonts w:ascii="宋体" w:hAnsi="宋体"/>
          <w:highlight w:val="none"/>
        </w:rPr>
        <w:t>七、合同事项</w:t>
      </w:r>
      <w:r>
        <w:tab/>
      </w:r>
      <w:r>
        <w:fldChar w:fldCharType="begin"/>
      </w:r>
      <w:r>
        <w:instrText xml:space="preserve"> PAGEREF _Toc9508 \h </w:instrText>
      </w:r>
      <w:r>
        <w:fldChar w:fldCharType="separate"/>
      </w:r>
      <w:r>
        <w:t>15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_Toc14292 </w:instrText>
      </w:r>
      <w:r>
        <w:rPr>
          <w:rFonts w:hint="eastAsia" w:ascii="宋体" w:hAnsi="宋体" w:eastAsia="宋体" w:cs="宋体"/>
          <w:kern w:val="2"/>
          <w:szCs w:val="24"/>
          <w:highlight w:val="none"/>
        </w:rPr>
        <w:fldChar w:fldCharType="separate"/>
      </w:r>
      <w:r>
        <w:rPr>
          <w:rFonts w:ascii="宋体" w:hAnsi="宋体"/>
          <w:highlight w:val="none"/>
        </w:rPr>
        <w:t>八、询价纪律要求</w:t>
      </w:r>
      <w:r>
        <w:tab/>
      </w:r>
      <w:r>
        <w:fldChar w:fldCharType="begin"/>
      </w:r>
      <w:r>
        <w:instrText xml:space="preserve"> PAGEREF _Toc14292 \h </w:instrText>
      </w:r>
      <w:r>
        <w:fldChar w:fldCharType="separate"/>
      </w:r>
      <w:r>
        <w:t>17</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_Toc20442 </w:instrText>
      </w:r>
      <w:r>
        <w:rPr>
          <w:rFonts w:hint="eastAsia" w:ascii="宋体" w:hAnsi="宋体" w:eastAsia="宋体" w:cs="宋体"/>
          <w:kern w:val="2"/>
          <w:szCs w:val="24"/>
          <w:highlight w:val="none"/>
        </w:rPr>
        <w:fldChar w:fldCharType="separate"/>
      </w:r>
      <w:r>
        <w:rPr>
          <w:rFonts w:ascii="宋体" w:hAnsi="宋体"/>
          <w:highlight w:val="none"/>
        </w:rPr>
        <w:t>九、询问、质疑和投诉</w:t>
      </w:r>
      <w:r>
        <w:tab/>
      </w:r>
      <w:r>
        <w:fldChar w:fldCharType="begin"/>
      </w:r>
      <w:r>
        <w:instrText xml:space="preserve"> PAGEREF _Toc20442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_Toc2427 </w:instrText>
      </w:r>
      <w:r>
        <w:rPr>
          <w:rFonts w:hint="eastAsia" w:ascii="宋体" w:hAnsi="宋体" w:eastAsia="宋体" w:cs="宋体"/>
          <w:kern w:val="2"/>
          <w:szCs w:val="24"/>
          <w:highlight w:val="none"/>
        </w:rPr>
        <w:fldChar w:fldCharType="separate"/>
      </w:r>
      <w:r>
        <w:rPr>
          <w:rFonts w:ascii="宋体" w:hAnsi="宋体"/>
          <w:highlight w:val="none"/>
        </w:rPr>
        <w:t>十、其他</w:t>
      </w:r>
      <w:r>
        <w:tab/>
      </w:r>
      <w:r>
        <w:fldChar w:fldCharType="begin"/>
      </w:r>
      <w:r>
        <w:instrText xml:space="preserve"> PAGEREF _Toc2427 \h </w:instrText>
      </w:r>
      <w:r>
        <w:fldChar w:fldCharType="separate"/>
      </w:r>
      <w:r>
        <w:t>18</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_Toc16809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第三章 项目技术、服务及商务要求</w:t>
      </w:r>
      <w:r>
        <w:tab/>
      </w:r>
      <w:r>
        <w:fldChar w:fldCharType="begin"/>
      </w:r>
      <w:r>
        <w:instrText xml:space="preserve"> PAGEREF _Toc16809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_Toc27484 </w:instrText>
      </w:r>
      <w:r>
        <w:rPr>
          <w:rFonts w:hint="eastAsia" w:ascii="宋体" w:hAnsi="宋体" w:eastAsia="宋体" w:cs="宋体"/>
          <w:kern w:val="2"/>
          <w:szCs w:val="24"/>
          <w:highlight w:val="none"/>
        </w:rPr>
        <w:fldChar w:fldCharType="separate"/>
      </w:r>
      <w:r>
        <w:rPr>
          <w:rFonts w:hint="eastAsia" w:ascii="宋体" w:hAnsi="宋体"/>
          <w:highlight w:val="none"/>
        </w:rPr>
        <w:t>一、项目概况</w:t>
      </w:r>
      <w:r>
        <w:tab/>
      </w:r>
      <w:r>
        <w:fldChar w:fldCharType="begin"/>
      </w:r>
      <w:r>
        <w:instrText xml:space="preserve"> PAGEREF _Toc27484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_Toc13119 </w:instrText>
      </w:r>
      <w:r>
        <w:rPr>
          <w:rFonts w:hint="eastAsia" w:ascii="宋体" w:hAnsi="宋体" w:eastAsia="宋体" w:cs="宋体"/>
          <w:kern w:val="2"/>
          <w:szCs w:val="24"/>
          <w:highlight w:val="none"/>
        </w:rPr>
        <w:fldChar w:fldCharType="separate"/>
      </w:r>
      <w:r>
        <w:rPr>
          <w:rFonts w:hint="eastAsia" w:ascii="宋体" w:hAnsi="宋体"/>
          <w:highlight w:val="none"/>
        </w:rPr>
        <w:t>二、技术要求</w:t>
      </w:r>
      <w:r>
        <w:tab/>
      </w:r>
      <w:r>
        <w:fldChar w:fldCharType="begin"/>
      </w:r>
      <w:r>
        <w:instrText xml:space="preserve"> PAGEREF _Toc13119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_Toc6539 </w:instrText>
      </w:r>
      <w:r>
        <w:rPr>
          <w:rFonts w:hint="eastAsia" w:ascii="宋体" w:hAnsi="宋体" w:eastAsia="宋体" w:cs="宋体"/>
          <w:kern w:val="2"/>
          <w:szCs w:val="24"/>
          <w:highlight w:val="none"/>
        </w:rPr>
        <w:fldChar w:fldCharType="separate"/>
      </w:r>
      <w:r>
        <w:rPr>
          <w:rFonts w:hint="eastAsia" w:ascii="宋体" w:hAnsi="宋体"/>
          <w:highlight w:val="none"/>
        </w:rPr>
        <w:t>三、服务要求</w:t>
      </w:r>
      <w:r>
        <w:tab/>
      </w:r>
      <w:r>
        <w:fldChar w:fldCharType="begin"/>
      </w:r>
      <w:r>
        <w:instrText xml:space="preserve"> PAGEREF _Toc6539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_Toc17915 </w:instrText>
      </w:r>
      <w:r>
        <w:rPr>
          <w:rFonts w:hint="eastAsia" w:ascii="宋体" w:hAnsi="宋体" w:eastAsia="宋体" w:cs="宋体"/>
          <w:kern w:val="2"/>
          <w:szCs w:val="24"/>
          <w:highlight w:val="none"/>
        </w:rPr>
        <w:fldChar w:fldCharType="separate"/>
      </w:r>
      <w:r>
        <w:rPr>
          <w:rFonts w:hint="eastAsia" w:ascii="宋体" w:hAnsi="宋体"/>
          <w:highlight w:val="none"/>
        </w:rPr>
        <w:t>四、商务要求</w:t>
      </w:r>
      <w:r>
        <w:tab/>
      </w:r>
      <w:r>
        <w:fldChar w:fldCharType="begin"/>
      </w:r>
      <w:r>
        <w:instrText xml:space="preserve"> PAGEREF _Toc17915 \h </w:instrText>
      </w:r>
      <w:r>
        <w:fldChar w:fldCharType="separate"/>
      </w:r>
      <w:r>
        <w:t>19</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_Toc5925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第四章 响应文件格式</w:t>
      </w:r>
      <w:r>
        <w:tab/>
      </w:r>
      <w:r>
        <w:fldChar w:fldCharType="begin"/>
      </w:r>
      <w:r>
        <w:instrText xml:space="preserve"> PAGEREF _Toc5925 \h </w:instrText>
      </w:r>
      <w:r>
        <w:fldChar w:fldCharType="separate"/>
      </w:r>
      <w:r>
        <w:t>20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_Toc747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一、报价函</w:t>
      </w:r>
      <w:r>
        <w:tab/>
      </w:r>
      <w:r>
        <w:fldChar w:fldCharType="begin"/>
      </w:r>
      <w:r>
        <w:instrText xml:space="preserve"> PAGEREF _Toc747 \h </w:instrText>
      </w:r>
      <w:r>
        <w:fldChar w:fldCharType="separate"/>
      </w:r>
      <w:r>
        <w:t>22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_Toc14776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二、资格证明材料</w:t>
      </w:r>
      <w:r>
        <w:tab/>
      </w:r>
      <w:r>
        <w:fldChar w:fldCharType="begin"/>
      </w:r>
      <w:r>
        <w:instrText xml:space="preserve"> PAGEREF _Toc14776 \h </w:instrText>
      </w:r>
      <w:r>
        <w:fldChar w:fldCharType="separate"/>
      </w:r>
      <w:r>
        <w:t>23</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_Toc7969 </w:instrText>
      </w:r>
      <w:r>
        <w:rPr>
          <w:rFonts w:hint="eastAsia" w:ascii="宋体" w:hAnsi="宋体" w:eastAsia="宋体" w:cs="宋体"/>
          <w:kern w:val="2"/>
          <w:szCs w:val="24"/>
          <w:highlight w:val="none"/>
        </w:rPr>
        <w:fldChar w:fldCharType="separate"/>
      </w:r>
      <w:r>
        <w:rPr>
          <w:rFonts w:hint="eastAsia"/>
          <w:szCs w:val="32"/>
        </w:rPr>
        <w:t xml:space="preserve">三、 </w:t>
      </w:r>
      <w:r>
        <w:rPr>
          <w:rFonts w:hint="eastAsia" w:ascii="黑体" w:hAnsi="黑体" w:eastAsia="黑体" w:cs="Arial"/>
          <w:bCs/>
          <w:szCs w:val="32"/>
          <w:highlight w:val="none"/>
        </w:rPr>
        <w:t>法定代表人</w:t>
      </w:r>
      <w:r>
        <w:rPr>
          <w:rFonts w:hint="eastAsia" w:ascii="黑体" w:hAnsi="黑体" w:eastAsia="黑体" w:cs="Arial"/>
          <w:bCs/>
          <w:szCs w:val="32"/>
          <w:highlight w:val="none"/>
          <w:lang w:eastAsia="zh-CN"/>
        </w:rPr>
        <w:t>身份证明文件或</w:t>
      </w:r>
      <w:r>
        <w:rPr>
          <w:rFonts w:hint="eastAsia" w:ascii="黑体" w:hAnsi="黑体" w:eastAsia="黑体" w:cs="Arial"/>
          <w:bCs/>
          <w:szCs w:val="32"/>
          <w:highlight w:val="none"/>
        </w:rPr>
        <w:t>法定代表人授权书</w:t>
      </w:r>
      <w:r>
        <w:tab/>
      </w:r>
      <w:r>
        <w:fldChar w:fldCharType="begin"/>
      </w:r>
      <w:r>
        <w:instrText xml:space="preserve"> PAGEREF _Toc7969 \h </w:instrText>
      </w:r>
      <w:r>
        <w:fldChar w:fldCharType="separate"/>
      </w:r>
      <w:r>
        <w:t>24</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_Toc5948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四</w:t>
      </w:r>
      <w:r>
        <w:rPr>
          <w:rFonts w:hint="eastAsia" w:ascii="黑体" w:hAnsi="黑体" w:eastAsia="黑体" w:cs="Arial"/>
          <w:bCs/>
          <w:szCs w:val="32"/>
          <w:highlight w:val="none"/>
        </w:rPr>
        <w:t>、分项报价表</w:t>
      </w:r>
      <w:r>
        <w:tab/>
      </w:r>
      <w:r>
        <w:fldChar w:fldCharType="begin"/>
      </w:r>
      <w:r>
        <w:instrText xml:space="preserve"> PAGEREF _Toc5948 \h </w:instrText>
      </w:r>
      <w:r>
        <w:fldChar w:fldCharType="separate"/>
      </w:r>
      <w:r>
        <w:t>25</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_Toc15415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五</w:t>
      </w:r>
      <w:r>
        <w:rPr>
          <w:rFonts w:hint="eastAsia" w:ascii="黑体" w:hAnsi="黑体" w:eastAsia="黑体" w:cs="Arial"/>
          <w:bCs/>
          <w:szCs w:val="32"/>
          <w:highlight w:val="none"/>
        </w:rPr>
        <w:t>、承诺函</w:t>
      </w:r>
      <w:r>
        <w:tab/>
      </w:r>
      <w:r>
        <w:fldChar w:fldCharType="begin"/>
      </w:r>
      <w:r>
        <w:instrText xml:space="preserve"> PAGEREF _Toc15415 \h </w:instrText>
      </w:r>
      <w:r>
        <w:fldChar w:fldCharType="separate"/>
      </w:r>
      <w:r>
        <w:t>26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_Toc1168 </w:instrText>
      </w:r>
      <w:r>
        <w:rPr>
          <w:rFonts w:hint="eastAsia" w:ascii="宋体" w:hAnsi="宋体" w:eastAsia="宋体" w:cs="宋体"/>
          <w:kern w:val="2"/>
          <w:szCs w:val="24"/>
          <w:highlight w:val="none"/>
        </w:rPr>
        <w:fldChar w:fldCharType="separate"/>
      </w:r>
      <w:r>
        <w:rPr>
          <w:rFonts w:ascii="黑体" w:hAnsi="黑体" w:eastAsia="黑体" w:cs="Arial"/>
          <w:bCs/>
          <w:szCs w:val="32"/>
          <w:highlight w:val="none"/>
        </w:rPr>
        <w:t>六</w:t>
      </w:r>
      <w:r>
        <w:rPr>
          <w:rFonts w:hint="eastAsia" w:ascii="黑体" w:hAnsi="黑体" w:eastAsia="黑体" w:cs="Arial"/>
          <w:bCs/>
          <w:szCs w:val="32"/>
          <w:highlight w:val="none"/>
        </w:rPr>
        <w:t>、竞标人廉洁自律承诺书</w:t>
      </w:r>
      <w:r>
        <w:tab/>
      </w:r>
      <w:r>
        <w:fldChar w:fldCharType="begin"/>
      </w:r>
      <w:r>
        <w:instrText xml:space="preserve"> PAGEREF _Toc1168 \h </w:instrText>
      </w:r>
      <w:r>
        <w:fldChar w:fldCharType="separate"/>
      </w:r>
      <w:r>
        <w:t>28</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_Toc12316 </w:instrText>
      </w:r>
      <w:r>
        <w:rPr>
          <w:rFonts w:hint="eastAsia" w:ascii="宋体" w:hAnsi="宋体" w:eastAsia="宋体" w:cs="宋体"/>
          <w:kern w:val="2"/>
          <w:szCs w:val="24"/>
          <w:highlight w:val="none"/>
        </w:rPr>
        <w:fldChar w:fldCharType="separate"/>
      </w:r>
      <w:r>
        <w:rPr>
          <w:rFonts w:hint="eastAsia" w:ascii="黑体" w:hAnsi="黑体" w:eastAsia="黑体" w:cs="Arial"/>
          <w:bCs/>
          <w:szCs w:val="32"/>
          <w:highlight w:val="none"/>
        </w:rPr>
        <w:t>七、供应商基本情况表</w:t>
      </w:r>
      <w:r>
        <w:tab/>
      </w:r>
      <w:r>
        <w:fldChar w:fldCharType="begin"/>
      </w:r>
      <w:r>
        <w:instrText xml:space="preserve"> PAGEREF _Toc12316 \h </w:instrText>
      </w:r>
      <w:r>
        <w:fldChar w:fldCharType="separate"/>
      </w:r>
      <w:r>
        <w:t>30</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_Toc24671 </w:instrText>
      </w:r>
      <w:r>
        <w:rPr>
          <w:rFonts w:hint="eastAsia" w:ascii="宋体" w:hAnsi="宋体" w:eastAsia="宋体" w:cs="宋体"/>
          <w:kern w:val="2"/>
          <w:szCs w:val="24"/>
          <w:highlight w:val="none"/>
        </w:rPr>
        <w:fldChar w:fldCharType="separate"/>
      </w:r>
      <w:r>
        <w:rPr>
          <w:rFonts w:hint="eastAsia" w:ascii="宋体" w:hAnsi="宋体"/>
          <w:bCs/>
          <w:highlight w:val="none"/>
        </w:rPr>
        <w:t>一、询价程序</w:t>
      </w:r>
      <w:r>
        <w:tab/>
      </w:r>
      <w:r>
        <w:fldChar w:fldCharType="begin"/>
      </w:r>
      <w:r>
        <w:instrText xml:space="preserve"> PAGEREF _Toc24671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_Toc13520 </w:instrText>
      </w:r>
      <w:r>
        <w:rPr>
          <w:rFonts w:hint="eastAsia" w:ascii="宋体" w:hAnsi="宋体" w:eastAsia="宋体" w:cs="宋体"/>
          <w:kern w:val="2"/>
          <w:szCs w:val="24"/>
          <w:highlight w:val="none"/>
        </w:rPr>
        <w:fldChar w:fldCharType="separate"/>
      </w:r>
      <w:r>
        <w:rPr>
          <w:rFonts w:hint="eastAsia" w:ascii="宋体" w:hAnsi="宋体"/>
          <w:bCs/>
          <w:highlight w:val="none"/>
        </w:rPr>
        <w:t>二、评审程序、评审方法、评审标准</w:t>
      </w:r>
      <w:r>
        <w:tab/>
      </w:r>
      <w:r>
        <w:fldChar w:fldCharType="begin"/>
      </w:r>
      <w:r>
        <w:instrText xml:space="preserve"> PAGEREF _Toc13520 \h </w:instrText>
      </w:r>
      <w:r>
        <w:fldChar w:fldCharType="separate"/>
      </w:r>
      <w:r>
        <w:t>32</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_Toc19962 </w:instrText>
      </w:r>
      <w:r>
        <w:rPr>
          <w:rFonts w:hint="eastAsia" w:ascii="宋体" w:hAnsi="宋体" w:eastAsia="宋体" w:cs="宋体"/>
          <w:kern w:val="2"/>
          <w:szCs w:val="24"/>
          <w:highlight w:val="none"/>
        </w:rPr>
        <w:fldChar w:fldCharType="separate"/>
      </w:r>
      <w:r>
        <w:rPr>
          <w:rFonts w:hint="eastAsia" w:ascii="宋体" w:hAnsi="宋体"/>
          <w:bCs/>
          <w:highlight w:val="none"/>
        </w:rPr>
        <w:t>三、评审纪律</w:t>
      </w:r>
      <w:r>
        <w:tab/>
      </w:r>
      <w:r>
        <w:fldChar w:fldCharType="begin"/>
      </w:r>
      <w:r>
        <w:instrText xml:space="preserve"> PAGEREF _Toc19962 \h </w:instrText>
      </w:r>
      <w:r>
        <w:fldChar w:fldCharType="separate"/>
      </w:r>
      <w:r>
        <w:t>34</w:t>
      </w:r>
      <w:r>
        <w:fldChar w:fldCharType="end"/>
      </w:r>
      <w:r>
        <w:rPr>
          <w:rFonts w:hint="eastAsia" w:ascii="宋体" w:hAnsi="宋体" w:eastAsia="宋体" w:cs="宋体"/>
          <w:color w:val="auto"/>
          <w:kern w:val="2"/>
          <w:szCs w:val="24"/>
          <w:highlight w:val="none"/>
        </w:rPr>
        <w:fldChar w:fldCharType="end"/>
      </w:r>
    </w:p>
    <w:p>
      <w:pPr>
        <w:pStyle w:val="13"/>
        <w:tabs>
          <w:tab w:val="right" w:leader="dot" w:pos="8306"/>
        </w:tabs>
      </w:pPr>
      <w:r>
        <w:rPr>
          <w:rFonts w:hint="eastAsia" w:ascii="宋体" w:hAnsi="宋体" w:eastAsia="宋体" w:cs="宋体"/>
          <w:color w:val="auto"/>
          <w:kern w:val="2"/>
          <w:szCs w:val="24"/>
          <w:highlight w:val="none"/>
        </w:rPr>
        <w:fldChar w:fldCharType="begin"/>
      </w:r>
      <w:r>
        <w:rPr>
          <w:rFonts w:hint="eastAsia" w:ascii="宋体" w:hAnsi="宋体" w:eastAsia="宋体" w:cs="宋体"/>
          <w:kern w:val="2"/>
          <w:szCs w:val="24"/>
          <w:highlight w:val="none"/>
        </w:rPr>
        <w:instrText xml:space="preserve"> HYPERLINK \l _Toc11382 </w:instrText>
      </w:r>
      <w:r>
        <w:rPr>
          <w:rFonts w:hint="eastAsia" w:ascii="宋体" w:hAnsi="宋体" w:eastAsia="宋体" w:cs="宋体"/>
          <w:kern w:val="2"/>
          <w:szCs w:val="24"/>
          <w:highlight w:val="none"/>
        </w:rPr>
        <w:fldChar w:fldCharType="separate"/>
      </w:r>
      <w:r>
        <w:rPr>
          <w:rFonts w:hint="eastAsia" w:ascii="黑体" w:hAnsi="黑体" w:eastAsia="黑体"/>
          <w:highlight w:val="none"/>
        </w:rPr>
        <w:t>第七章 采购合同（草案）</w:t>
      </w:r>
      <w:r>
        <w:tab/>
      </w:r>
      <w:r>
        <w:fldChar w:fldCharType="begin"/>
      </w:r>
      <w:r>
        <w:instrText xml:space="preserve"> PAGEREF _Toc11382 \h </w:instrText>
      </w:r>
      <w:r>
        <w:fldChar w:fldCharType="separate"/>
      </w:r>
      <w:r>
        <w:t>36</w:t>
      </w:r>
      <w:r>
        <w:fldChar w:fldCharType="end"/>
      </w:r>
      <w:r>
        <w:rPr>
          <w:rFonts w:hint="eastAsia" w:ascii="宋体" w:hAnsi="宋体" w:eastAsia="宋体" w:cs="宋体"/>
          <w:color w:val="auto"/>
          <w:kern w:val="2"/>
          <w:szCs w:val="24"/>
          <w:highlight w:val="none"/>
        </w:rPr>
        <w:fldChar w:fldCharType="end"/>
      </w:r>
    </w:p>
    <w:p>
      <w:pPr>
        <w:pStyle w:val="14"/>
        <w:tabs>
          <w:tab w:val="right" w:leader="dot" w:pos="8306"/>
        </w:tabs>
      </w:pPr>
    </w:p>
    <w:p>
      <w:pPr>
        <w:pStyle w:val="5"/>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5" w:name="_Toc91771146"/>
      <w:bookmarkStart w:id="6" w:name="_Toc79"/>
      <w:r>
        <w:rPr>
          <w:rFonts w:hint="eastAsia" w:ascii="黑体" w:hAnsi="黑体" w:eastAsia="黑体"/>
          <w:color w:val="auto"/>
          <w:sz w:val="36"/>
          <w:highlight w:val="none"/>
        </w:rPr>
        <w:t>第一章 询价邀请公告</w:t>
      </w:r>
      <w:bookmarkEnd w:id="5"/>
      <w:bookmarkEnd w:id="6"/>
    </w:p>
    <w:p>
      <w:pPr>
        <w:spacing w:line="360" w:lineRule="auto"/>
        <w:ind w:firstLine="480" w:firstLineChars="200"/>
        <w:jc w:val="left"/>
        <w:rPr>
          <w:color w:val="auto"/>
          <w:sz w:val="24"/>
          <w:szCs w:val="28"/>
          <w:highlight w:val="none"/>
        </w:rPr>
      </w:pPr>
      <w:bookmarkStart w:id="144" w:name="_GoBack"/>
      <w:bookmarkEnd w:id="144"/>
      <w:r>
        <w:rPr>
          <w:color w:val="auto"/>
          <w:sz w:val="24"/>
          <w:highlight w:val="none"/>
        </w:rPr>
        <w:t>根据公司生产经营需要，拟对</w:t>
      </w:r>
      <w:r>
        <w:rPr>
          <w:rFonts w:hint="eastAsia"/>
          <w:color w:val="auto"/>
          <w:sz w:val="24"/>
          <w:highlight w:val="none"/>
          <w:u w:val="single"/>
          <w:lang w:val="en-US" w:eastAsia="zh-CN"/>
        </w:rPr>
        <w:t>江阳公园污水泵维修项目</w:t>
      </w:r>
      <w:r>
        <w:rPr>
          <w:color w:val="auto"/>
          <w:sz w:val="24"/>
          <w:szCs w:val="32"/>
          <w:highlight w:val="none"/>
        </w:rPr>
        <w:t>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val="en-US" w:eastAsia="zh-CN"/>
        </w:rPr>
        <w:t xml:space="preserve">XYCG【2026】024 </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u w:val="single"/>
          <w:lang w:val="en-US" w:eastAsia="zh-CN"/>
        </w:rPr>
        <w:t>江阳公园污水泵维修项目</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泸州市江阳区醉美城市公园管理有限公司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color w:val="auto"/>
          <w:sz w:val="24"/>
          <w:highlight w:val="none"/>
          <w:lang w:val="en-US" w:eastAsia="zh-CN"/>
        </w:rPr>
        <w:t>合同签订接到采购人通知后10个日历日内</w:t>
      </w:r>
      <w:r>
        <w:rPr>
          <w:color w:val="auto"/>
          <w:sz w:val="24"/>
          <w:highlight w:val="none"/>
        </w:rPr>
        <w:t>。</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 xml:space="preserve"> 资金，</w:t>
      </w:r>
      <w:r>
        <w:rPr>
          <w:b/>
          <w:bCs/>
          <w:color w:val="auto"/>
          <w:highlight w:val="none"/>
        </w:rPr>
        <w:t>最高限价为</w:t>
      </w:r>
      <w:r>
        <w:rPr>
          <w:rFonts w:hint="eastAsia"/>
          <w:b/>
          <w:bCs/>
          <w:color w:val="auto"/>
          <w:highlight w:val="none"/>
          <w:lang w:val="en-US" w:eastAsia="zh-CN"/>
        </w:rPr>
        <w:t>17600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80" w:firstLineChars="200"/>
        <w:rPr>
          <w:color w:val="auto"/>
          <w:sz w:val="24"/>
          <w:szCs w:val="28"/>
          <w:highlight w:val="none"/>
        </w:rPr>
      </w:pPr>
      <w:r>
        <w:rPr>
          <w:rFonts w:hint="default"/>
          <w:color w:val="auto"/>
          <w:sz w:val="24"/>
          <w:highlight w:val="none"/>
          <w:lang w:val="en-US" w:eastAsia="zh-CN"/>
        </w:rPr>
        <w:t>江阳公园管理办公室旁厕所污水池原配备4台污水提升泵，其中2台污水提升泵及浮球阀损坏，无法实现自动运行，需人工进行开关操作，剩余2台也因长期处于过载运行状态，机械零部件均出现不同程度的磨损与老化</w:t>
      </w:r>
      <w:r>
        <w:rPr>
          <w:rFonts w:hint="eastAsia"/>
          <w:color w:val="auto"/>
          <w:sz w:val="24"/>
          <w:highlight w:val="none"/>
          <w:lang w:val="en-US" w:eastAsia="zh-CN"/>
        </w:rPr>
        <w:t>，现拟采用公开询价方式采购一家单位对其进行维修，预估费用为17600元。</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3"/>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lang w:eastAsia="zh-CN"/>
        </w:rPr>
        <w:t>☑</w:t>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3"/>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bookmarkStart w:id="7" w:name="OLE_LINK1"/>
      <w:r>
        <w:rPr>
          <w:rFonts w:hint="eastAsia"/>
          <w:b w:val="0"/>
          <w:bCs/>
          <w:color w:val="auto"/>
          <w:sz w:val="24"/>
          <w:highlight w:val="none"/>
          <w:lang w:val="en-US" w:eastAsia="zh-CN"/>
        </w:rPr>
        <w:t>2026</w:t>
      </w:r>
      <w:r>
        <w:rPr>
          <w:bCs/>
          <w:color w:val="auto"/>
          <w:sz w:val="24"/>
          <w:highlight w:val="none"/>
        </w:rPr>
        <w:t>年</w:t>
      </w:r>
      <w:r>
        <w:rPr>
          <w:rFonts w:hint="eastAsia"/>
          <w:bCs/>
          <w:color w:val="auto"/>
          <w:sz w:val="24"/>
          <w:highlight w:val="none"/>
          <w:lang w:val="en-US" w:eastAsia="zh-CN"/>
        </w:rPr>
        <w:t>03</w:t>
      </w:r>
      <w:r>
        <w:rPr>
          <w:bCs/>
          <w:color w:val="auto"/>
          <w:sz w:val="24"/>
          <w:highlight w:val="none"/>
        </w:rPr>
        <w:t>月</w:t>
      </w:r>
      <w:r>
        <w:rPr>
          <w:rFonts w:hint="eastAsia"/>
          <w:bCs/>
          <w:color w:val="auto"/>
          <w:sz w:val="24"/>
          <w:highlight w:val="none"/>
          <w:lang w:val="en-US" w:eastAsia="zh-CN"/>
        </w:rPr>
        <w:t>23</w:t>
      </w:r>
      <w:r>
        <w:rPr>
          <w:bCs/>
          <w:color w:val="auto"/>
          <w:sz w:val="24"/>
          <w:highlight w:val="none"/>
        </w:rPr>
        <w:t>日</w:t>
      </w:r>
      <w:r>
        <w:rPr>
          <w:rFonts w:hint="eastAsia"/>
          <w:bCs/>
          <w:color w:val="auto"/>
          <w:sz w:val="24"/>
          <w:highlight w:val="none"/>
          <w:lang w:val="en-US" w:eastAsia="zh-CN"/>
        </w:rPr>
        <w:t>09:30</w:t>
      </w:r>
      <w:r>
        <w:rPr>
          <w:color w:val="auto"/>
          <w:sz w:val="24"/>
          <w:szCs w:val="28"/>
          <w:highlight w:val="none"/>
        </w:rPr>
        <w:t>（北京时间）</w:t>
      </w:r>
      <w:bookmarkEnd w:id="7"/>
      <w:r>
        <w:rPr>
          <w:color w:val="auto"/>
          <w:sz w:val="24"/>
          <w:szCs w:val="28"/>
          <w:highlight w:val="none"/>
        </w:rPr>
        <w:t>。</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21"/>
          <w:rFonts w:hint="eastAsia" w:ascii="宋体" w:hAnsi="宋体" w:cs="宋体"/>
          <w:b/>
          <w:bCs/>
          <w:color w:val="auto"/>
          <w:sz w:val="24"/>
          <w:szCs w:val="24"/>
          <w:highlight w:val="none"/>
          <w:u w:val="none"/>
          <w:lang w:eastAsia="zh-CN"/>
        </w:rPr>
        <w:t>□</w:t>
      </w:r>
      <w:r>
        <w:rPr>
          <w:rStyle w:val="21"/>
          <w:rFonts w:hint="eastAsia" w:ascii="宋体" w:hAnsi="宋体" w:eastAsia="宋体" w:cs="宋体"/>
          <w:bCs/>
          <w:color w:val="auto"/>
          <w:sz w:val="24"/>
          <w:szCs w:val="24"/>
          <w:highlight w:val="none"/>
          <w:u w:val="none"/>
        </w:rPr>
        <w:t>本次采购</w:t>
      </w:r>
      <w:r>
        <w:rPr>
          <w:rStyle w:val="21"/>
          <w:rFonts w:hint="eastAsia" w:ascii="宋体" w:hAnsi="宋体" w:eastAsia="宋体" w:cs="宋体"/>
          <w:bCs/>
          <w:color w:val="auto"/>
          <w:sz w:val="24"/>
          <w:szCs w:val="24"/>
          <w:highlight w:val="none"/>
          <w:u w:val="none"/>
          <w:lang w:val="en-US" w:eastAsia="zh-CN"/>
        </w:rPr>
        <w:t>只</w:t>
      </w:r>
      <w:r>
        <w:rPr>
          <w:rStyle w:val="21"/>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21"/>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21"/>
          <w:rFonts w:hint="eastAsia" w:ascii="宋体" w:hAnsi="宋体" w:eastAsia="宋体" w:cs="宋体"/>
          <w:bCs/>
          <w:color w:val="auto"/>
          <w:sz w:val="24"/>
          <w:szCs w:val="24"/>
          <w:highlight w:val="none"/>
          <w:u w:val="none"/>
        </w:rPr>
        <w:t>电子邮箱</w:t>
      </w:r>
      <w:r>
        <w:rPr>
          <w:rStyle w:val="21"/>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21"/>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21"/>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4"/>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color w:val="auto"/>
          <w:sz w:val="24"/>
          <w:highlight w:val="none"/>
        </w:rPr>
        <w:t xml:space="preserve"> </w:t>
      </w:r>
      <w:r>
        <w:rPr>
          <w:rFonts w:hint="eastAsia"/>
          <w:color w:val="auto"/>
          <w:sz w:val="24"/>
          <w:highlight w:val="none"/>
          <w:lang w:val="en-US" w:eastAsia="zh-CN"/>
        </w:rPr>
        <w:t>泸州市江阳区醉美城市公园管理有限公司</w:t>
      </w:r>
      <w:r>
        <w:rPr>
          <w:color w:val="auto"/>
          <w:sz w:val="24"/>
          <w:highlight w:val="none"/>
        </w:rPr>
        <w:t xml:space="preserve"> </w:t>
      </w:r>
    </w:p>
    <w:p>
      <w:pPr>
        <w:pStyle w:val="23"/>
        <w:ind w:firstLine="480"/>
        <w:rPr>
          <w:color w:val="auto"/>
          <w:kern w:val="0"/>
          <w:sz w:val="24"/>
          <w:highlight w:val="none"/>
        </w:rPr>
      </w:pPr>
      <w:r>
        <w:rPr>
          <w:bCs/>
          <w:color w:val="auto"/>
          <w:sz w:val="24"/>
          <w:highlight w:val="none"/>
        </w:rPr>
        <w:t>通讯地址</w:t>
      </w:r>
      <w:r>
        <w:rPr>
          <w:color w:val="auto"/>
          <w:kern w:val="0"/>
          <w:sz w:val="24"/>
          <w:highlight w:val="none"/>
        </w:rPr>
        <w:t xml:space="preserve">： </w:t>
      </w:r>
      <w:r>
        <w:rPr>
          <w:rFonts w:hint="eastAsia"/>
          <w:color w:val="auto"/>
          <w:kern w:val="0"/>
          <w:sz w:val="24"/>
          <w:highlight w:val="none"/>
          <w:lang w:val="en-US" w:eastAsia="zh-CN"/>
        </w:rPr>
        <w:t>泸州市江阳区华阳街道胜景南路53号1栋二层</w:t>
      </w:r>
      <w:r>
        <w:rPr>
          <w:color w:val="auto"/>
          <w:kern w:val="0"/>
          <w:sz w:val="24"/>
          <w:highlight w:val="none"/>
        </w:rPr>
        <w:t xml:space="preserve"> </w:t>
      </w:r>
    </w:p>
    <w:p>
      <w:pPr>
        <w:pStyle w:val="23"/>
        <w:ind w:firstLine="480"/>
        <w:rPr>
          <w:color w:val="auto"/>
          <w:sz w:val="24"/>
          <w:highlight w:val="none"/>
        </w:rPr>
      </w:pPr>
      <w:r>
        <w:rPr>
          <w:color w:val="auto"/>
          <w:sz w:val="24"/>
          <w:highlight w:val="none"/>
        </w:rPr>
        <w:t xml:space="preserve">联系人： </w:t>
      </w:r>
      <w:r>
        <w:rPr>
          <w:rFonts w:hint="eastAsia"/>
          <w:color w:val="auto"/>
          <w:sz w:val="24"/>
          <w:highlight w:val="none"/>
          <w:lang w:val="en-US" w:eastAsia="zh-CN"/>
        </w:rPr>
        <w:t>李女士</w:t>
      </w:r>
      <w:r>
        <w:rPr>
          <w:color w:val="auto"/>
          <w:sz w:val="24"/>
          <w:highlight w:val="none"/>
        </w:rPr>
        <w:t xml:space="preserve"> </w:t>
      </w:r>
    </w:p>
    <w:p>
      <w:pPr>
        <w:pStyle w:val="23"/>
        <w:ind w:firstLine="480"/>
        <w:rPr>
          <w:color w:val="auto"/>
          <w:sz w:val="24"/>
          <w:highlight w:val="none"/>
        </w:rPr>
      </w:pPr>
      <w:r>
        <w:rPr>
          <w:color w:val="auto"/>
          <w:sz w:val="24"/>
          <w:highlight w:val="none"/>
        </w:rPr>
        <w:t>联系电话：</w:t>
      </w:r>
      <w:r>
        <w:rPr>
          <w:rFonts w:hint="eastAsia"/>
          <w:color w:val="auto"/>
          <w:sz w:val="24"/>
          <w:highlight w:val="none"/>
          <w:lang w:val="en-US" w:eastAsia="zh-CN"/>
        </w:rPr>
        <w:t>0830-6661300</w:t>
      </w:r>
      <w:r>
        <w:rPr>
          <w:color w:val="auto"/>
          <w:sz w:val="24"/>
          <w:highlight w:val="none"/>
        </w:rPr>
        <w:t xml:space="preserve">            </w:t>
      </w:r>
    </w:p>
    <w:p>
      <w:pPr>
        <w:pStyle w:val="15"/>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监督电话：0830-</w:t>
      </w:r>
      <w:bookmarkStart w:id="8" w:name="OLE_LINK4"/>
      <w:r>
        <w:rPr>
          <w:rFonts w:hint="eastAsia" w:ascii="Times New Roman" w:hAnsi="Times New Roman"/>
          <w:color w:val="auto"/>
          <w:sz w:val="24"/>
          <w:highlight w:val="none"/>
          <w:lang w:val="en-US" w:eastAsia="zh-CN"/>
        </w:rPr>
        <w:t>6523011</w:t>
      </w:r>
      <w:bookmarkEnd w:id="8"/>
    </w:p>
    <w:p>
      <w:pPr>
        <w:pStyle w:val="15"/>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2026</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03</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17</w:t>
      </w:r>
      <w:r>
        <w:rPr>
          <w:rFonts w:ascii="Times New Roman" w:hAnsi="Times New Roman"/>
          <w:color w:val="auto"/>
          <w:sz w:val="24"/>
          <w:szCs w:val="24"/>
          <w:highlight w:val="none"/>
        </w:rPr>
        <w:t>日</w:t>
      </w:r>
    </w:p>
    <w:p>
      <w:pPr>
        <w:pStyle w:val="15"/>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rFonts w:hint="eastAsia"/>
          <w:color w:val="auto"/>
          <w:sz w:val="36"/>
          <w:szCs w:val="36"/>
          <w:highlight w:val="none"/>
        </w:rPr>
      </w:pPr>
      <w:r>
        <w:rPr>
          <w:color w:val="auto"/>
          <w:sz w:val="36"/>
          <w:szCs w:val="36"/>
          <w:highlight w:val="none"/>
        </w:rPr>
        <w:br w:type="page"/>
      </w:r>
      <w:bookmarkStart w:id="9" w:name="_Toc29924"/>
      <w:bookmarkStart w:id="10" w:name="_Toc91771147"/>
      <w:r>
        <w:rPr>
          <w:rFonts w:hint="eastAsia" w:ascii="黑体" w:hAnsi="黑体" w:eastAsia="黑体"/>
          <w:color w:val="auto"/>
          <w:sz w:val="36"/>
          <w:highlight w:val="none"/>
        </w:rPr>
        <w:t>第二章 询价须知</w:t>
      </w:r>
      <w:bookmarkEnd w:id="9"/>
      <w:bookmarkEnd w:id="10"/>
    </w:p>
    <w:p>
      <w:pPr>
        <w:spacing w:after="240" w:afterLines="100"/>
        <w:jc w:val="center"/>
        <w:outlineLvl w:val="1"/>
        <w:rPr>
          <w:rFonts w:hint="eastAsia" w:ascii="宋体" w:hAnsi="宋体"/>
          <w:b/>
          <w:color w:val="auto"/>
          <w:sz w:val="32"/>
          <w:highlight w:val="none"/>
        </w:rPr>
      </w:pPr>
      <w:bookmarkStart w:id="11" w:name="_Toc91771148"/>
      <w:bookmarkStart w:id="12" w:name="_Toc9848"/>
      <w:r>
        <w:rPr>
          <w:rFonts w:hint="eastAsia" w:ascii="宋体" w:hAnsi="宋体"/>
          <w:b/>
          <w:color w:val="auto"/>
          <w:sz w:val="32"/>
          <w:highlight w:val="none"/>
        </w:rPr>
        <w:t>一、供应商须知前附表</w:t>
      </w:r>
      <w:bookmarkEnd w:id="11"/>
      <w:bookmarkEnd w:id="12"/>
    </w:p>
    <w:tbl>
      <w:tblPr>
        <w:tblStyle w:val="17"/>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4"/>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4"/>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4"/>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采购预算</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lang w:val="en-US" w:eastAsia="zh-CN"/>
              </w:rPr>
              <w:t>17600</w:t>
            </w:r>
            <w:r>
              <w:rPr>
                <w:rFonts w:hint="eastAsia"/>
                <w:color w:val="auto"/>
                <w:highlight w:val="none"/>
                <w:lang w:val="zh-CN"/>
              </w:rPr>
              <w:t>元；</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最高限价</w:t>
            </w:r>
          </w:p>
          <w:p>
            <w:pPr>
              <w:pStyle w:val="24"/>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最高限价：</w:t>
            </w:r>
            <w:r>
              <w:rPr>
                <w:rFonts w:hint="eastAsia"/>
                <w:color w:val="auto"/>
                <w:highlight w:val="none"/>
                <w:lang w:val="en-US" w:eastAsia="zh-CN"/>
              </w:rPr>
              <w:t>17600</w:t>
            </w:r>
            <w:r>
              <w:rPr>
                <w:rFonts w:hint="eastAsia"/>
                <w:color w:val="auto"/>
                <w:highlight w:val="none"/>
                <w:lang w:val="zh-CN"/>
              </w:rPr>
              <w:t>元；</w:t>
            </w:r>
          </w:p>
          <w:p>
            <w:pPr>
              <w:pStyle w:val="24"/>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4"/>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4"/>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4"/>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4"/>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4"/>
              <w:spacing w:line="300" w:lineRule="auto"/>
              <w:ind w:firstLine="240" w:firstLineChars="100"/>
              <w:jc w:val="both"/>
              <w:rPr>
                <w:rFonts w:hint="eastAsia"/>
                <w:color w:val="auto"/>
                <w:highlight w:val="none"/>
                <w:lang w:val="zh-CN"/>
              </w:rPr>
            </w:pPr>
            <w:r>
              <w:rPr>
                <w:rFonts w:hint="eastAsia"/>
                <w:color w:val="auto"/>
                <w:highlight w:val="none"/>
              </w:rPr>
              <w:t>3.报价保留</w:t>
            </w:r>
            <w:r>
              <w:rPr>
                <w:rFonts w:hint="eastAsia"/>
                <w:color w:val="auto"/>
                <w:highlight w:val="none"/>
                <w:lang w:val="en-US" w:eastAsia="zh-CN"/>
              </w:rPr>
              <w:t>0</w:t>
            </w:r>
            <w:r>
              <w:rPr>
                <w:rFonts w:hint="eastAsia"/>
                <w:color w:val="auto"/>
                <w:highlight w:val="none"/>
              </w:rPr>
              <w:t>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4"/>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4"/>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4"/>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4"/>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4"/>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4"/>
              <w:spacing w:line="300" w:lineRule="auto"/>
              <w:ind w:firstLine="240" w:firstLineChars="100"/>
              <w:jc w:val="both"/>
              <w:rPr>
                <w:rFonts w:hint="eastAsia" w:eastAsia="宋体"/>
                <w:color w:val="auto"/>
                <w:highlight w:val="none"/>
                <w:lang w:val="zh-CN" w:eastAsia="zh-CN"/>
              </w:rPr>
            </w:pPr>
            <w:r>
              <w:rPr>
                <w:rFonts w:hint="eastAsia"/>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4"/>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rPr>
              <w:t>成交总金额的</w:t>
            </w:r>
            <w:r>
              <w:rPr>
                <w:rFonts w:hint="eastAsia"/>
                <w:color w:val="auto"/>
                <w:highlight w:val="none"/>
                <w:lang w:val="en-US" w:eastAsia="zh-CN"/>
              </w:rPr>
              <w:t>10</w:t>
            </w:r>
            <w:r>
              <w:rPr>
                <w:rFonts w:hint="eastAsia"/>
                <w:color w:val="auto"/>
                <w:highlight w:val="none"/>
              </w:rPr>
              <w:t>%缴纳。</w:t>
            </w:r>
          </w:p>
          <w:p>
            <w:pPr>
              <w:pStyle w:val="24"/>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4"/>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color w:val="auto"/>
                <w:highlight w:val="none"/>
                <w:lang w:val="en-US" w:eastAsia="zh-CN"/>
              </w:rPr>
              <w:t>泸州市江阳区醉美城市公园管理有限公司</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color w:val="auto"/>
                <w:highlight w:val="none"/>
                <w:lang w:val="en-US" w:eastAsia="zh-CN"/>
              </w:rPr>
              <w:t>泸州银行营业部</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银行账号：</w:t>
            </w:r>
            <w:r>
              <w:rPr>
                <w:rFonts w:hint="eastAsia"/>
                <w:color w:val="auto"/>
                <w:highlight w:val="none"/>
                <w:lang w:val="en-US" w:eastAsia="zh-CN"/>
              </w:rPr>
              <w:t>2010  9000  0016  5766</w:t>
            </w:r>
            <w:r>
              <w:rPr>
                <w:rFonts w:hint="eastAsia"/>
                <w:color w:val="auto"/>
                <w:highlight w:val="none"/>
                <w:lang w:val="zh-CN"/>
              </w:rPr>
              <w:t>。</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87" w:hRule="atLeast"/>
          <w:jc w:val="center"/>
        </w:trPr>
        <w:tc>
          <w:tcPr>
            <w:tcW w:w="677" w:type="dxa"/>
            <w:noWrap w:val="0"/>
            <w:vAlign w:val="center"/>
          </w:tcPr>
          <w:p>
            <w:pPr>
              <w:pStyle w:val="24"/>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4"/>
              <w:spacing w:line="300" w:lineRule="auto"/>
              <w:ind w:firstLine="241" w:firstLineChars="100"/>
              <w:jc w:val="both"/>
              <w:rPr>
                <w:rFonts w:hint="eastAsia"/>
                <w:color w:val="auto"/>
                <w:highlight w:val="none"/>
                <w:lang w:val="zh-CN"/>
              </w:rPr>
            </w:pPr>
            <w:r>
              <w:rPr>
                <w:rFonts w:hint="eastAsia"/>
                <w:b/>
                <w:bCs/>
                <w:color w:val="auto"/>
                <w:highlight w:val="none"/>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5"/>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 xml:space="preserve"> </w:t>
            </w:r>
            <w:r>
              <w:rPr>
                <w:rFonts w:hint="eastAsia" w:cs="宋体"/>
                <w:color w:val="auto"/>
                <w:sz w:val="24"/>
                <w:szCs w:val="24"/>
                <w:highlight w:val="none"/>
                <w:lang w:val="en-US" w:eastAsia="zh-CN" w:bidi="ar"/>
              </w:rPr>
              <w:t>泸州市江阳区醉美城市公园管理有限公司</w:t>
            </w:r>
            <w:r>
              <w:rPr>
                <w:rFonts w:hint="eastAsia" w:cs="宋体"/>
                <w:color w:val="auto"/>
                <w:sz w:val="24"/>
                <w:szCs w:val="24"/>
                <w:highlight w:val="none"/>
                <w:lang w:bidi="ar"/>
              </w:rPr>
              <w:t xml:space="preserve"> </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en-US" w:eastAsia="zh-CN"/>
              </w:rPr>
              <w:t>李女士</w:t>
            </w:r>
            <w:r>
              <w:rPr>
                <w:rFonts w:hint="eastAsia" w:ascii="宋体" w:hAnsi="宋体" w:cs="宋体"/>
                <w:color w:val="auto"/>
                <w:kern w:val="0"/>
                <w:sz w:val="24"/>
                <w:highlight w:val="none"/>
              </w:rPr>
              <w:t xml:space="preserve">  </w:t>
            </w:r>
          </w:p>
          <w:p>
            <w:pPr>
              <w:pStyle w:val="24"/>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4"/>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4"/>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4"/>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olor w:val="auto"/>
                <w:highlight w:val="none"/>
                <w:lang w:val="en-US" w:eastAsia="zh-CN"/>
              </w:rPr>
              <w:t>李女士</w:t>
            </w:r>
            <w:r>
              <w:rPr>
                <w:rFonts w:hint="eastAsia"/>
                <w:color w:val="auto"/>
                <w:highlight w:val="none"/>
              </w:rPr>
              <w:t xml:space="preserve"> 。</w:t>
            </w:r>
          </w:p>
          <w:p>
            <w:pPr>
              <w:pStyle w:val="24"/>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4"/>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lang w:val="en-US" w:eastAsia="zh-CN"/>
              </w:rPr>
              <w:t>李女士</w:t>
            </w:r>
            <w:r>
              <w:rPr>
                <w:rFonts w:hint="eastAsia"/>
                <w:color w:val="auto"/>
                <w:highlight w:val="none"/>
              </w:rPr>
              <w:t xml:space="preserve"> </w:t>
            </w:r>
          </w:p>
          <w:p>
            <w:pPr>
              <w:pStyle w:val="24"/>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0830-6661300</w:t>
            </w:r>
            <w:r>
              <w:rPr>
                <w:rFonts w:hint="eastAsia"/>
                <w:color w:val="auto"/>
                <w:highlight w:val="none"/>
              </w:rPr>
              <w:t xml:space="preserve"> </w:t>
            </w:r>
          </w:p>
          <w:p>
            <w:pPr>
              <w:pStyle w:val="24"/>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赵</w:t>
            </w:r>
            <w:r>
              <w:rPr>
                <w:rFonts w:hint="eastAsia"/>
                <w:color w:val="auto"/>
                <w:highlight w:val="none"/>
              </w:rPr>
              <w:t xml:space="preserve">先生 </w:t>
            </w:r>
            <w:r>
              <w:rPr>
                <w:rFonts w:hint="eastAsia"/>
                <w:color w:val="auto"/>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w:t>
            </w:r>
            <w:r>
              <w:rPr>
                <w:rFonts w:hint="eastAsia" w:ascii="Times New Roman" w:hAnsi="Times New Roman"/>
                <w:color w:val="auto"/>
                <w:sz w:val="24"/>
                <w:highlight w:val="none"/>
                <w:lang w:val="en-US" w:eastAsia="zh-CN"/>
              </w:rPr>
              <w:t>6523011</w:t>
            </w:r>
            <w:r>
              <w:rPr>
                <w:rFonts w:hint="eastAsia"/>
                <w:color w:val="auto"/>
                <w:highlight w:val="none"/>
                <w:lang w:val="zh-CN"/>
              </w:rPr>
              <w:t>。</w:t>
            </w:r>
          </w:p>
          <w:p>
            <w:pPr>
              <w:pStyle w:val="23"/>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640000</w:t>
            </w:r>
            <w:r>
              <w:rPr>
                <w:rFonts w:hint="eastAsia"/>
                <w:color w:val="auto"/>
                <w:highlight w:val="none"/>
                <w:lang w:val="zh-CN"/>
              </w:rPr>
              <w:t>。</w:t>
            </w:r>
          </w:p>
          <w:p>
            <w:pPr>
              <w:pStyle w:val="24"/>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03</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23</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09:30</w:t>
            </w:r>
            <w:r>
              <w:rPr>
                <w:rFonts w:hint="eastAsia" w:ascii="宋体" w:hAnsi="宋体" w:cs="宋体"/>
                <w:color w:val="auto"/>
                <w:kern w:val="0"/>
                <w:sz w:val="24"/>
                <w:highlight w:val="none"/>
                <w:lang w:val="zh-CN"/>
              </w:rPr>
              <w:t>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领取成交通知书并接到采购人通知后10天内签订合同；否则，视为成交供应商放弃成交，没收保证金，询价人另行确定成交人或重新询价。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color w:val="auto"/>
                <w:sz w:val="24"/>
                <w:highlight w:val="none"/>
                <w:lang w:val="en-US" w:eastAsia="zh-CN"/>
              </w:rPr>
              <w:t>合同签订接到采购人通知后10个日历日内</w:t>
            </w:r>
            <w:r>
              <w:rPr>
                <w:rFonts w:hint="eastAsia" w:ascii="宋体" w:hAnsi="宋体" w:cs="宋体"/>
                <w:color w:val="auto"/>
                <w:sz w:val="24"/>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lang w:eastAsia="zh-CN"/>
              </w:rPr>
              <w:t>☑</w:t>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4"/>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4"/>
              <w:spacing w:line="312" w:lineRule="auto"/>
              <w:ind w:firstLine="241" w:firstLineChars="100"/>
              <w:rPr>
                <w:rFonts w:hint="eastAsia"/>
                <w:color w:val="auto"/>
                <w:highlight w:val="none"/>
                <w:lang w:val="zh-CN"/>
              </w:rPr>
            </w:pPr>
            <w:r>
              <w:rPr>
                <w:rFonts w:hint="eastAsia"/>
                <w:b/>
                <w:bCs/>
                <w:color w:val="auto"/>
                <w:highlight w:val="none"/>
              </w:rPr>
              <w:t>□</w:t>
            </w:r>
            <w:r>
              <w:rPr>
                <w:rFonts w:hint="eastAsia"/>
                <w:color w:val="auto"/>
                <w:kern w:val="2"/>
                <w:highlight w:val="none"/>
              </w:rPr>
              <w:t>电子文档U盘或光盘1份（</w:t>
            </w:r>
            <w:r>
              <w:rPr>
                <w:rFonts w:hint="eastAsia"/>
                <w:i/>
                <w:iCs/>
                <w:color w:val="auto"/>
                <w:kern w:val="2"/>
                <w:highlight w:val="none"/>
              </w:rPr>
              <w:t>内含</w:t>
            </w:r>
            <w:r>
              <w:rPr>
                <w:rStyle w:val="21"/>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4"/>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4"/>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4"/>
              <w:spacing w:line="300" w:lineRule="auto"/>
              <w:ind w:firstLine="240" w:firstLineChars="100"/>
              <w:rPr>
                <w:rFonts w:hint="eastAsia"/>
                <w:color w:val="auto"/>
                <w:highlight w:val="none"/>
                <w:lang w:val="zh-CN"/>
              </w:rPr>
            </w:pPr>
            <w:r>
              <w:rPr>
                <w:rFonts w:hint="eastAsia" w:ascii="Times New Roman" w:hAnsi="Times New Roman"/>
                <w:color w:val="auto"/>
                <w:sz w:val="24"/>
                <w:highlight w:val="none"/>
              </w:rPr>
              <w:t>0830-</w:t>
            </w:r>
            <w:r>
              <w:rPr>
                <w:rFonts w:hint="eastAsia" w:ascii="Times New Roman" w:hAnsi="Times New Roman"/>
                <w:color w:val="auto"/>
                <w:sz w:val="24"/>
                <w:highlight w:val="none"/>
                <w:lang w:val="en-US" w:eastAsia="zh-CN"/>
              </w:rPr>
              <w:t>6523011</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3" w:name="_Toc91771149"/>
      <w:bookmarkStart w:id="14" w:name="_Toc28598"/>
      <w:r>
        <w:rPr>
          <w:rFonts w:hint="eastAsia" w:ascii="宋体" w:hAnsi="宋体"/>
          <w:b/>
          <w:color w:val="auto"/>
          <w:sz w:val="32"/>
          <w:highlight w:val="none"/>
        </w:rPr>
        <w:t>二、总则</w:t>
      </w:r>
      <w:bookmarkEnd w:id="13"/>
      <w:bookmarkEnd w:id="14"/>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5"/>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5"/>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5"/>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5"/>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8"/>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5" w:name="_Toc5695"/>
      <w:bookmarkStart w:id="16" w:name="_Toc91771150"/>
      <w:r>
        <w:rPr>
          <w:rFonts w:ascii="宋体" w:hAnsi="宋体"/>
          <w:b/>
          <w:color w:val="auto"/>
          <w:sz w:val="32"/>
          <w:highlight w:val="none"/>
        </w:rPr>
        <w:t>三、询价文件</w:t>
      </w:r>
      <w:bookmarkEnd w:id="15"/>
      <w:bookmarkEnd w:id="16"/>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7" w:name="_Toc1862"/>
      <w:bookmarkStart w:id="18" w:name="_Toc91771151"/>
      <w:r>
        <w:rPr>
          <w:rFonts w:ascii="宋体" w:hAnsi="宋体"/>
          <w:b/>
          <w:color w:val="auto"/>
          <w:sz w:val="32"/>
          <w:highlight w:val="none"/>
        </w:rPr>
        <w:t>四、询价响应文件</w:t>
      </w:r>
      <w:bookmarkEnd w:id="17"/>
      <w:bookmarkEnd w:id="18"/>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22"/>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9" w:name="_Toc1015"/>
      <w:bookmarkStart w:id="20" w:name="_Toc91771152"/>
      <w:r>
        <w:rPr>
          <w:rFonts w:ascii="宋体" w:hAnsi="宋体"/>
          <w:b/>
          <w:color w:val="auto"/>
          <w:sz w:val="32"/>
          <w:highlight w:val="none"/>
        </w:rPr>
        <w:t>五、询价及评审过程</w:t>
      </w:r>
      <w:bookmarkEnd w:id="19"/>
      <w:bookmarkEnd w:id="20"/>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21" w:name="_Toc25990"/>
      <w:bookmarkStart w:id="22" w:name="_Toc91771153"/>
      <w:r>
        <w:rPr>
          <w:rFonts w:ascii="宋体" w:hAnsi="宋体"/>
          <w:b/>
          <w:color w:val="auto"/>
          <w:sz w:val="32"/>
          <w:highlight w:val="none"/>
        </w:rPr>
        <w:t>六、成交事项</w:t>
      </w:r>
      <w:bookmarkEnd w:id="21"/>
      <w:bookmarkEnd w:id="22"/>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3" w:name="_Toc91771154"/>
      <w:bookmarkStart w:id="24" w:name="_Toc9508"/>
      <w:r>
        <w:rPr>
          <w:rFonts w:ascii="宋体" w:hAnsi="宋体"/>
          <w:b/>
          <w:color w:val="auto"/>
          <w:sz w:val="32"/>
          <w:highlight w:val="none"/>
        </w:rPr>
        <w:t>七、合同事项</w:t>
      </w:r>
      <w:bookmarkEnd w:id="23"/>
      <w:bookmarkEnd w:id="24"/>
    </w:p>
    <w:p>
      <w:pPr>
        <w:spacing w:line="360" w:lineRule="auto"/>
        <w:rPr>
          <w:b/>
          <w:color w:val="auto"/>
          <w:sz w:val="24"/>
          <w:highlight w:val="none"/>
        </w:rPr>
      </w:pPr>
      <w:bookmarkStart w:id="25" w:name="_Toc209847069"/>
      <w:bookmarkStart w:id="26" w:name="_Toc101338364"/>
      <w:bookmarkStart w:id="27" w:name="_Toc430773927"/>
      <w:bookmarkStart w:id="28" w:name="_Toc101250646"/>
      <w:bookmarkStart w:id="29" w:name="_Toc101174151"/>
      <w:r>
        <w:rPr>
          <w:b/>
          <w:color w:val="auto"/>
          <w:sz w:val="24"/>
          <w:highlight w:val="none"/>
        </w:rPr>
        <w:t>25.签订合同</w:t>
      </w:r>
      <w:bookmarkEnd w:id="25"/>
      <w:bookmarkEnd w:id="26"/>
      <w:bookmarkEnd w:id="27"/>
      <w:bookmarkEnd w:id="28"/>
      <w:bookmarkEnd w:id="29"/>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rPr>
        <w:t>并接到采购人通知后</w:t>
      </w:r>
      <w:r>
        <w:rPr>
          <w:color w:val="auto"/>
          <w:sz w:val="24"/>
          <w:highlight w:val="none"/>
        </w:rPr>
        <w:t>十日内与采购人签订采购合同。由于成交供应商的原因逾期未与采购人签订采购合同的，将视为放弃成交，取消其成交资格并将按相关规定进行处理。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w:t>
      </w:r>
    </w:p>
    <w:p>
      <w:pPr>
        <w:spacing w:line="360" w:lineRule="auto"/>
        <w:ind w:firstLine="480" w:firstLineChars="200"/>
        <w:rPr>
          <w:color w:val="auto"/>
          <w:sz w:val="24"/>
          <w:highlight w:val="none"/>
        </w:rPr>
      </w:pPr>
      <w:r>
        <w:rPr>
          <w:color w:val="auto"/>
          <w:sz w:val="24"/>
          <w:highlight w:val="none"/>
        </w:rPr>
        <w:t>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30" w:name="_Toc91771155"/>
      <w:bookmarkStart w:id="31" w:name="_Toc14292"/>
      <w:r>
        <w:rPr>
          <w:rFonts w:ascii="宋体" w:hAnsi="宋体"/>
          <w:b/>
          <w:color w:val="auto"/>
          <w:sz w:val="32"/>
          <w:highlight w:val="none"/>
        </w:rPr>
        <w:t>八、询价纪律要求</w:t>
      </w:r>
      <w:bookmarkEnd w:id="30"/>
      <w:bookmarkEnd w:id="31"/>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2" w:name="_Toc91771156"/>
      <w:bookmarkStart w:id="33" w:name="_Toc20442"/>
      <w:r>
        <w:rPr>
          <w:rFonts w:ascii="宋体" w:hAnsi="宋体"/>
          <w:b/>
          <w:color w:val="auto"/>
          <w:sz w:val="32"/>
          <w:highlight w:val="none"/>
        </w:rPr>
        <w:t>九、询问、质疑和投诉</w:t>
      </w:r>
      <w:bookmarkEnd w:id="32"/>
      <w:bookmarkEnd w:id="33"/>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4" w:name="_Toc2427"/>
      <w:bookmarkStart w:id="35" w:name="_Toc91771157"/>
      <w:r>
        <w:rPr>
          <w:rFonts w:ascii="宋体" w:hAnsi="宋体"/>
          <w:b/>
          <w:color w:val="auto"/>
          <w:sz w:val="32"/>
          <w:highlight w:val="none"/>
        </w:rPr>
        <w:t>十、其他</w:t>
      </w:r>
      <w:bookmarkEnd w:id="34"/>
      <w:bookmarkEnd w:id="35"/>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6" w:name="_Toc217446057"/>
      <w:bookmarkStart w:id="37" w:name="_Toc183582232"/>
      <w:bookmarkStart w:id="38" w:name="_Toc183682369"/>
      <w:r>
        <w:rPr>
          <w:rFonts w:ascii="黑体" w:hAnsi="黑体" w:eastAsia="黑体"/>
          <w:color w:val="auto"/>
          <w:sz w:val="36"/>
          <w:highlight w:val="none"/>
        </w:rPr>
        <w:br w:type="page"/>
      </w:r>
      <w:bookmarkStart w:id="39" w:name="_Toc91771158"/>
      <w:bookmarkStart w:id="40" w:name="_Toc16809"/>
      <w:r>
        <w:rPr>
          <w:rFonts w:hint="eastAsia" w:ascii="黑体" w:hAnsi="黑体" w:eastAsia="黑体"/>
          <w:color w:val="auto"/>
          <w:sz w:val="36"/>
          <w:highlight w:val="none"/>
        </w:rPr>
        <w:t>第三章 项目技术、服务及商务要求</w:t>
      </w:r>
      <w:bookmarkEnd w:id="39"/>
      <w:bookmarkEnd w:id="40"/>
    </w:p>
    <w:p>
      <w:pPr>
        <w:outlineLvl w:val="1"/>
        <w:rPr>
          <w:rFonts w:hint="eastAsia" w:ascii="宋体" w:hAnsi="宋体"/>
          <w:b/>
          <w:color w:val="auto"/>
          <w:sz w:val="32"/>
          <w:highlight w:val="none"/>
        </w:rPr>
      </w:pPr>
      <w:bookmarkStart w:id="41" w:name="_Toc91771159"/>
      <w:bookmarkStart w:id="42" w:name="_Toc27484"/>
      <w:r>
        <w:rPr>
          <w:rFonts w:hint="eastAsia" w:ascii="宋体" w:hAnsi="宋体"/>
          <w:b/>
          <w:color w:val="auto"/>
          <w:sz w:val="32"/>
          <w:highlight w:val="none"/>
        </w:rPr>
        <w:t>一、项目概况</w:t>
      </w:r>
      <w:bookmarkEnd w:id="41"/>
      <w:bookmarkEnd w:id="42"/>
    </w:p>
    <w:p>
      <w:pPr>
        <w:spacing w:after="240" w:afterLines="100"/>
        <w:ind w:firstLine="480" w:firstLineChars="200"/>
        <w:rPr>
          <w:color w:val="auto"/>
          <w:highlight w:val="none"/>
        </w:rPr>
      </w:pPr>
      <w:r>
        <w:rPr>
          <w:rFonts w:hint="default" w:ascii="宋体" w:hAnsi="宋体" w:eastAsia="宋体" w:cs="宋体"/>
          <w:i w:val="0"/>
          <w:iCs w:val="0"/>
          <w:color w:val="000000"/>
          <w:kern w:val="0"/>
          <w:sz w:val="24"/>
          <w:szCs w:val="24"/>
          <w:u w:val="none"/>
          <w:lang w:val="en-US" w:eastAsia="zh-CN" w:bidi="ar"/>
        </w:rPr>
        <w:t>江阳公园管理办公室旁厕所污水池原配备4台污水提升泵，其中2台污水提升泵及浮球阀损坏，无法实现自动运行，需人工进行开关操作，剩余2台也因长期处于过载运行状态，机械零部件均出现不同程度的磨损与老化</w:t>
      </w:r>
      <w:r>
        <w:rPr>
          <w:rFonts w:hint="eastAsia" w:ascii="宋体" w:hAnsi="宋体" w:eastAsia="宋体" w:cs="宋体"/>
          <w:i w:val="0"/>
          <w:iCs w:val="0"/>
          <w:color w:val="000000"/>
          <w:kern w:val="0"/>
          <w:sz w:val="24"/>
          <w:szCs w:val="24"/>
          <w:u w:val="none"/>
          <w:lang w:val="en-US" w:eastAsia="zh-CN" w:bidi="ar"/>
        </w:rPr>
        <w:t>，现拟采用公开询价方式采购一家单位对其进行维修，预估费用为17600元。</w:t>
      </w:r>
    </w:p>
    <w:p>
      <w:pPr>
        <w:outlineLvl w:val="1"/>
        <w:rPr>
          <w:rFonts w:hint="eastAsia" w:ascii="宋体" w:hAnsi="宋体"/>
          <w:b/>
          <w:color w:val="auto"/>
          <w:sz w:val="32"/>
          <w:highlight w:val="none"/>
        </w:rPr>
      </w:pPr>
      <w:bookmarkStart w:id="43" w:name="_Toc13119"/>
      <w:bookmarkStart w:id="44" w:name="_Toc91771160"/>
      <w:r>
        <w:rPr>
          <w:rFonts w:hint="eastAsia" w:ascii="宋体" w:hAnsi="宋体"/>
          <w:b/>
          <w:color w:val="auto"/>
          <w:sz w:val="32"/>
          <w:highlight w:val="none"/>
        </w:rPr>
        <w:t>二、技术要求</w:t>
      </w:r>
      <w:bookmarkEnd w:id="43"/>
      <w:bookmarkEnd w:id="44"/>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639"/>
        <w:gridCol w:w="1329"/>
        <w:gridCol w:w="869"/>
        <w:gridCol w:w="869"/>
        <w:gridCol w:w="876"/>
        <w:gridCol w:w="89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45" w:name="_Toc91771161"/>
            <w:r>
              <w:rPr>
                <w:rFonts w:hint="eastAsia" w:ascii="宋体" w:hAnsi="宋体" w:eastAsia="宋体" w:cs="宋体"/>
                <w:i w:val="0"/>
                <w:iCs w:val="0"/>
                <w:color w:val="000000"/>
                <w:kern w:val="0"/>
                <w:sz w:val="24"/>
                <w:szCs w:val="24"/>
                <w:u w:val="none"/>
                <w:lang w:val="en-US" w:eastAsia="zh-CN" w:bidi="ar"/>
              </w:rPr>
              <w:t>序号</w:t>
            </w:r>
          </w:p>
        </w:tc>
        <w:tc>
          <w:tcPr>
            <w:tcW w:w="96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化粪池彻底清理并冲洗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维修污水泵</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更换电机绕组、密封圈、修复控制箱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更换叶轮、轴承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浮球阀1个</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更换施工费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3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17600</w:t>
            </w: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pStyle w:val="4"/>
        <w:ind w:firstLine="480" w:firstLineChars="200"/>
        <w:jc w:val="both"/>
        <w:rPr>
          <w:rFonts w:hint="eastAsia" w:ascii="宋体" w:hAnsi="宋体" w:eastAsia="宋体" w:cs="Times New Roman"/>
          <w:color w:val="auto"/>
          <w:kern w:val="2"/>
          <w:sz w:val="24"/>
          <w:szCs w:val="24"/>
          <w:highlight w:val="yellow"/>
          <w:lang w:val="en-US" w:eastAsia="zh-CN" w:bidi="ar-SA"/>
        </w:rPr>
      </w:pPr>
    </w:p>
    <w:p>
      <w:pPr>
        <w:spacing w:after="240" w:afterLines="100"/>
        <w:ind w:firstLine="480" w:firstLineChars="200"/>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w:t>
      </w:r>
      <w:r>
        <w:rPr>
          <w:rFonts w:hint="eastAsia" w:ascii="宋体" w:hAnsi="宋体" w:eastAsia="宋体" w:cs="宋体"/>
          <w:i w:val="0"/>
          <w:iCs w:val="0"/>
          <w:color w:val="000000"/>
          <w:kern w:val="0"/>
          <w:sz w:val="24"/>
          <w:szCs w:val="24"/>
          <w:highlight w:val="yellow"/>
          <w:u w:val="none"/>
          <w:lang w:val="en-US" w:eastAsia="zh-CN" w:bidi="ar"/>
        </w:rPr>
        <w:t>总价包干。包括但不限于人工费、材料费、机械费、安装费、施工费、措施费、规费、风险、合理利润、税金（增值税专用发票）、和保险等费等完成维修后污水泵达到自动运行的一切费用，如维修过程中需要更换污水泵零部件或清单以外零部件才能达到污水泵自动运行，则该费用由供应商承担。</w:t>
      </w:r>
    </w:p>
    <w:p>
      <w:pPr>
        <w:pStyle w:val="4"/>
        <w:ind w:firstLine="241" w:firstLineChars="100"/>
        <w:rPr>
          <w:color w:val="auto"/>
          <w:sz w:val="24"/>
          <w:highlight w:val="none"/>
        </w:rPr>
      </w:pPr>
      <w:r>
        <w:rPr>
          <w:rFonts w:hint="eastAsia" w:ascii="宋体" w:hAnsi="宋体" w:cs="宋体"/>
          <w:b/>
          <w:bCs w:val="0"/>
          <w:sz w:val="24"/>
          <w:szCs w:val="24"/>
          <w:highlight w:val="none"/>
          <w:lang w:val="en-US" w:eastAsia="zh-CN"/>
        </w:rPr>
        <w:t>2.税率按照3%计算，</w:t>
      </w:r>
      <w:r>
        <w:rPr>
          <w:rFonts w:hint="eastAsia" w:cs="宋体"/>
          <w:b/>
          <w:bCs/>
          <w:sz w:val="24"/>
          <w:szCs w:val="24"/>
          <w:highlight w:val="yellow"/>
          <w:lang w:val="en-US" w:eastAsia="zh-CN"/>
        </w:rPr>
        <w:t>最终结算按供应商开票税率按实结算（税率差价按实结算，但供应商最终含税结算价不能超过最高限价，否则供应商报价无效）。</w:t>
      </w:r>
    </w:p>
    <w:p>
      <w:pPr>
        <w:pStyle w:val="4"/>
        <w:numPr>
          <w:ilvl w:val="0"/>
          <w:numId w:val="0"/>
        </w:numPr>
        <w:ind w:firstLine="482" w:firstLineChars="200"/>
        <w:jc w:val="both"/>
        <w:rPr>
          <w:rFonts w:hint="default" w:ascii="宋体" w:hAnsi="宋体" w:eastAsia="宋体" w:cs="Times New Roman"/>
          <w:b/>
          <w:bCs/>
          <w:color w:val="auto"/>
          <w:kern w:val="2"/>
          <w:sz w:val="24"/>
          <w:szCs w:val="24"/>
          <w:highlight w:val="none"/>
          <w:lang w:val="en-US" w:eastAsia="zh-CN" w:bidi="ar-SA"/>
        </w:rPr>
      </w:pPr>
    </w:p>
    <w:p>
      <w:pPr>
        <w:outlineLvl w:val="1"/>
        <w:rPr>
          <w:rFonts w:hint="eastAsia" w:ascii="宋体" w:hAnsi="宋体"/>
          <w:b/>
          <w:color w:val="auto"/>
          <w:sz w:val="32"/>
          <w:highlight w:val="none"/>
        </w:rPr>
      </w:pPr>
      <w:bookmarkStart w:id="46" w:name="_Toc6539"/>
      <w:r>
        <w:rPr>
          <w:rFonts w:hint="eastAsia" w:ascii="宋体" w:hAnsi="宋体"/>
          <w:b/>
          <w:color w:val="auto"/>
          <w:sz w:val="32"/>
          <w:highlight w:val="none"/>
        </w:rPr>
        <w:t>三、服务要求</w:t>
      </w:r>
      <w:bookmarkEnd w:id="45"/>
      <w:bookmarkEnd w:id="46"/>
    </w:p>
    <w:p>
      <w:pPr>
        <w:pStyle w:val="16"/>
        <w:numPr>
          <w:ilvl w:val="0"/>
          <w:numId w:val="1"/>
        </w:numPr>
        <w:ind w:left="210" w:leftChars="0"/>
        <w:jc w:val="left"/>
        <w:rPr>
          <w:rFonts w:hint="eastAsia" w:ascii="宋体" w:hAnsi="宋体" w:eastAsia="宋体" w:cs="宋体"/>
          <w:color w:val="000000"/>
          <w:kern w:val="2"/>
          <w:sz w:val="24"/>
          <w:szCs w:val="24"/>
          <w:lang w:val="en-US" w:eastAsia="zh-CN" w:bidi="ar-SA"/>
        </w:rPr>
      </w:pPr>
      <w:bookmarkStart w:id="47" w:name="_Toc91771162"/>
      <w:r>
        <w:rPr>
          <w:rFonts w:hint="eastAsia" w:ascii="宋体" w:hAnsi="宋体" w:eastAsia="宋体" w:cs="宋体"/>
          <w:color w:val="000000"/>
          <w:kern w:val="2"/>
          <w:sz w:val="24"/>
          <w:szCs w:val="24"/>
          <w:lang w:val="en-US" w:eastAsia="zh-CN" w:bidi="ar-SA"/>
        </w:rPr>
        <w:t>工期：合同签订接到采购人通知后10个日历日内完成</w:t>
      </w:r>
    </w:p>
    <w:p>
      <w:pPr>
        <w:pStyle w:val="16"/>
        <w:numPr>
          <w:ilvl w:val="0"/>
          <w:numId w:val="1"/>
        </w:numPr>
        <w:ind w:left="210"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施工要求：（1）严格按照《有限空间作业安全管理制度》及相关法律法规等有关有限空间施工规范制度要求进场施工。</w:t>
      </w:r>
    </w:p>
    <w:p>
      <w:pPr>
        <w:pStyle w:val="16"/>
        <w:numPr>
          <w:ilvl w:val="0"/>
          <w:numId w:val="0"/>
        </w:numPr>
        <w:ind w:leftChars="10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（2）制定完善的有限空间作业施工及事故救援方案</w:t>
      </w:r>
    </w:p>
    <w:p>
      <w:pPr>
        <w:pStyle w:val="16"/>
        <w:numPr>
          <w:ilvl w:val="0"/>
          <w:numId w:val="1"/>
        </w:numPr>
        <w:ind w:left="210" w:leftChar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安全责任：施工期间发生的任何安全事故、经济损失以及法律纠纷等均由供应商承担。</w:t>
      </w:r>
    </w:p>
    <w:p>
      <w:pPr>
        <w:pStyle w:val="16"/>
        <w:numPr>
          <w:ilvl w:val="0"/>
          <w:numId w:val="1"/>
        </w:numPr>
        <w:ind w:left="210" w:lef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质保期：验收合格后6个月。</w:t>
      </w:r>
    </w:p>
    <w:p>
      <w:pPr>
        <w:pStyle w:val="16"/>
        <w:numPr>
          <w:ilvl w:val="0"/>
          <w:numId w:val="1"/>
        </w:numPr>
        <w:ind w:left="210" w:leftChar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人员要求：施工人员需具备有限空间作业相关资质。</w:t>
      </w:r>
    </w:p>
    <w:p>
      <w:pPr>
        <w:pStyle w:val="16"/>
        <w:numPr>
          <w:ilvl w:val="0"/>
          <w:numId w:val="1"/>
        </w:numPr>
        <w:ind w:left="210" w:leftChars="0"/>
        <w:jc w:val="left"/>
        <w:rPr>
          <w:rFonts w:hint="default" w:ascii="宋体" w:hAnsi="宋体" w:eastAsia="宋体" w:cs="宋体"/>
          <w:color w:val="000000"/>
          <w:kern w:val="2"/>
          <w:sz w:val="24"/>
          <w:szCs w:val="24"/>
          <w:highlight w:val="yellow"/>
          <w:lang w:val="en-US" w:eastAsia="zh-CN" w:bidi="ar-SA"/>
        </w:rPr>
      </w:pPr>
      <w:r>
        <w:rPr>
          <w:rFonts w:hint="eastAsia" w:ascii="宋体" w:hAnsi="宋体" w:eastAsia="宋体" w:cs="宋体"/>
          <w:color w:val="000000"/>
          <w:kern w:val="2"/>
          <w:sz w:val="24"/>
          <w:szCs w:val="24"/>
          <w:highlight w:val="yellow"/>
          <w:lang w:val="en-US" w:eastAsia="zh-CN" w:bidi="ar-SA"/>
        </w:rPr>
        <w:t>采用包干价方式进行采购，该费用包含完成维修后污水泵达到自动运行的一切费用，如维修过程中需要更换污水泵零部件或清单以外零部件才能达到污水泵自动运行，则该费用由供应商承担。</w:t>
      </w:r>
    </w:p>
    <w:p>
      <w:pPr>
        <w:outlineLvl w:val="1"/>
        <w:rPr>
          <w:rFonts w:hint="eastAsia" w:ascii="宋体" w:hAnsi="宋体"/>
          <w:b/>
          <w:color w:val="auto"/>
          <w:sz w:val="32"/>
          <w:highlight w:val="none"/>
        </w:rPr>
      </w:pPr>
      <w:bookmarkStart w:id="48" w:name="_Toc17915"/>
      <w:r>
        <w:rPr>
          <w:rFonts w:hint="eastAsia" w:ascii="宋体" w:hAnsi="宋体"/>
          <w:b/>
          <w:color w:val="auto"/>
          <w:sz w:val="32"/>
          <w:highlight w:val="none"/>
        </w:rPr>
        <w:t>四、商务要求</w:t>
      </w:r>
      <w:bookmarkEnd w:id="47"/>
      <w:bookmarkEnd w:id="48"/>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480"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付款方式：经采购人验收合格，供应商根据采购人要求提供等额有效的增值税专用发票后，采购人在15个工作日内一次性支付合同价款的97%给供应商，预留3%作为质保金，在验收合格满后凭供应商付款申请无息支付。</w:t>
      </w:r>
    </w:p>
    <w:p>
      <w:pPr>
        <w:pStyle w:val="16"/>
        <w:numPr>
          <w:ilvl w:val="0"/>
          <w:numId w:val="0"/>
        </w:numPr>
        <w:ind w:leftChars="100" w:firstLine="480" w:firstLineChars="200"/>
        <w:jc w:val="left"/>
        <w:rPr>
          <w:rFonts w:hint="default" w:ascii="宋体" w:hAnsi="宋体" w:eastAsia="宋体" w:cs="宋体"/>
          <w:color w:val="000000"/>
          <w:kern w:val="2"/>
          <w:sz w:val="24"/>
          <w:szCs w:val="24"/>
          <w:lang w:val="en-US" w:eastAsia="zh-CN" w:bidi="ar-SA"/>
        </w:rPr>
      </w:pPr>
    </w:p>
    <w:p>
      <w:pPr>
        <w:pStyle w:val="16"/>
        <w:ind w:firstLine="480" w:firstLineChars="200"/>
        <w:jc w:val="left"/>
        <w:rPr>
          <w:rFonts w:hint="eastAsia" w:ascii="宋体" w:hAnsi="宋体"/>
          <w:bCs/>
          <w:color w:val="auto"/>
          <w:sz w:val="24"/>
          <w:highlight w:val="none"/>
        </w:rPr>
      </w:pPr>
      <w:r>
        <w:rPr>
          <w:rFonts w:hint="eastAsia" w:ascii="Times New Roman" w:hAnsi="Times New Roman" w:eastAsia="宋体" w:cs="Times New Roman"/>
          <w:sz w:val="24"/>
          <w:szCs w:val="32"/>
          <w:lang w:val="en-US" w:eastAsia="zh-CN"/>
        </w:rPr>
        <w:t>。</w:t>
      </w: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9" w:name="_Toc5925"/>
      <w:bookmarkStart w:id="50" w:name="_Toc91771163"/>
      <w:r>
        <w:rPr>
          <w:rFonts w:hint="eastAsia" w:ascii="黑体" w:hAnsi="黑体" w:eastAsia="黑体"/>
          <w:color w:val="auto"/>
          <w:sz w:val="36"/>
          <w:highlight w:val="none"/>
        </w:rPr>
        <w:t>第四章 响应文件格式</w:t>
      </w:r>
      <w:bookmarkEnd w:id="49"/>
      <w:bookmarkEnd w:id="50"/>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采购编号：xxxx号</w:t>
      </w:r>
    </w:p>
    <w:p>
      <w:pPr>
        <w:pStyle w:val="4"/>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rPr>
        <w:t>XX采购项目</w:t>
      </w:r>
    </w:p>
    <w:p>
      <w:pPr>
        <w:pStyle w:val="4"/>
        <w:rPr>
          <w:rFonts w:hint="eastAsia"/>
          <w:color w:val="auto"/>
          <w:highlight w:val="none"/>
        </w:rPr>
      </w:pPr>
    </w:p>
    <w:p>
      <w:pPr>
        <w:pStyle w:val="7"/>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4"/>
        <w:rPr>
          <w:rFonts w:hint="eastAsia"/>
          <w:color w:val="auto"/>
          <w:highlight w:val="none"/>
        </w:rPr>
      </w:pPr>
    </w:p>
    <w:p>
      <w:pPr>
        <w:pStyle w:val="4"/>
        <w:spacing w:line="360" w:lineRule="auto"/>
        <w:rPr>
          <w:rFonts w:hint="eastAsia"/>
          <w:color w:val="auto"/>
          <w:highlight w:val="none"/>
        </w:rPr>
      </w:pPr>
    </w:p>
    <w:p>
      <w:pPr>
        <w:pStyle w:val="4"/>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4"/>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4"/>
        <w:rPr>
          <w:rFonts w:hint="eastAsia"/>
          <w:color w:val="auto"/>
          <w:highlight w:val="none"/>
        </w:rPr>
      </w:pPr>
    </w:p>
    <w:p>
      <w:pPr>
        <w:pStyle w:val="7"/>
        <w:ind w:firstLine="420"/>
        <w:rPr>
          <w:rFonts w:hint="eastAsia"/>
          <w:color w:val="auto"/>
          <w:highlight w:val="none"/>
        </w:rPr>
      </w:pPr>
    </w:p>
    <w:p>
      <w:pPr>
        <w:pStyle w:val="4"/>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1" w:name="_Toc747"/>
      <w:bookmarkStart w:id="52" w:name="_Toc91771164"/>
      <w:r>
        <w:rPr>
          <w:rFonts w:hint="eastAsia" w:ascii="黑体" w:hAnsi="黑体" w:eastAsia="黑体" w:cs="Arial"/>
          <w:bCs/>
          <w:color w:val="auto"/>
          <w:sz w:val="32"/>
          <w:szCs w:val="32"/>
          <w:highlight w:val="none"/>
        </w:rPr>
        <w:t>一、报价函</w:t>
      </w:r>
      <w:bookmarkEnd w:id="51"/>
      <w:bookmarkEnd w:id="52"/>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w:t>
      </w:r>
      <w:r>
        <w:rPr>
          <w:rFonts w:hint="eastAsia"/>
          <w:color w:val="auto"/>
          <w:sz w:val="24"/>
          <w:highlight w:val="none"/>
          <w:lang w:val="en-US" w:eastAsia="zh-CN"/>
        </w:rPr>
        <w:t>1</w:t>
      </w:r>
      <w:r>
        <w:rPr>
          <w:color w:val="auto"/>
          <w:sz w:val="24"/>
          <w:highlight w:val="none"/>
        </w:rPr>
        <w:t>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0</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pPr>
        <w:pStyle w:val="16"/>
        <w:numPr>
          <w:ilvl w:val="0"/>
          <w:numId w:val="1"/>
        </w:numPr>
        <w:ind w:left="210" w:leftChars="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eastAsia="宋体" w:cs="宋体"/>
          <w:color w:val="000000"/>
          <w:kern w:val="2"/>
          <w:sz w:val="24"/>
          <w:szCs w:val="24"/>
          <w:lang w:val="en-US" w:eastAsia="zh-CN" w:bidi="ar-SA"/>
        </w:rPr>
        <w:t>合同签订接到采购人通知后10个日历日内完成</w:t>
      </w:r>
      <w:r>
        <w:rPr>
          <w:rFonts w:ascii="Times New Roman"/>
          <w:color w:val="auto"/>
          <w:kern w:val="2"/>
          <w:sz w:val="24"/>
          <w:szCs w:val="24"/>
          <w:highlight w:val="none"/>
        </w:rPr>
        <w:t>。</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3" w:name="_Toc91771165"/>
      <w:bookmarkStart w:id="54" w:name="_Toc14776"/>
      <w:r>
        <w:rPr>
          <w:rFonts w:hint="eastAsia" w:ascii="黑体" w:hAnsi="黑体" w:eastAsia="黑体" w:cs="Arial"/>
          <w:bCs/>
          <w:color w:val="auto"/>
          <w:sz w:val="32"/>
          <w:szCs w:val="32"/>
          <w:highlight w:val="none"/>
        </w:rPr>
        <w:t>二、资格证明材料</w:t>
      </w:r>
      <w:bookmarkEnd w:id="53"/>
      <w:bookmarkEnd w:id="54"/>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施工人员</w:t>
      </w:r>
      <w:r>
        <w:rPr>
          <w:rFonts w:hint="eastAsia" w:ascii="宋体" w:hAnsi="宋体" w:eastAsia="宋体" w:cs="宋体"/>
          <w:color w:val="000000"/>
          <w:kern w:val="2"/>
          <w:sz w:val="24"/>
          <w:szCs w:val="24"/>
          <w:lang w:val="en-US" w:eastAsia="zh-CN" w:bidi="ar-SA"/>
        </w:rPr>
        <w:t>有限空间作业相关资质复印件（加盖公章）</w:t>
      </w:r>
      <w:r>
        <w:rPr>
          <w:rFonts w:hint="eastAsia" w:ascii="宋体" w:hAnsi="宋体"/>
          <w:color w:val="auto"/>
          <w:sz w:val="24"/>
          <w:highlight w:val="none"/>
        </w:rPr>
        <w:t>。</w:t>
      </w:r>
    </w:p>
    <w:p>
      <w:pPr>
        <w:pStyle w:val="4"/>
        <w:rPr>
          <w:color w:val="auto"/>
          <w:highlight w:val="none"/>
        </w:rPr>
      </w:pPr>
    </w:p>
    <w:p>
      <w:pPr>
        <w:pStyle w:val="4"/>
        <w:rPr>
          <w:rFonts w:hint="eastAsia"/>
          <w:color w:val="auto"/>
          <w:highlight w:val="none"/>
        </w:rPr>
      </w:pPr>
    </w:p>
    <w:p>
      <w:pPr>
        <w:pStyle w:val="4"/>
        <w:rPr>
          <w:rFonts w:hint="eastAsia"/>
          <w:color w:val="auto"/>
          <w:highlight w:val="none"/>
        </w:rPr>
      </w:pPr>
    </w:p>
    <w:p>
      <w:pPr>
        <w:numPr>
          <w:ilvl w:val="0"/>
          <w:numId w:val="2"/>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5" w:name="_Toc7969"/>
      <w:bookmarkStart w:id="56"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5"/>
      <w:bookmarkEnd w:id="56"/>
    </w:p>
    <w:p>
      <w:pPr>
        <w:numPr>
          <w:ilvl w:val="0"/>
          <w:numId w:val="3"/>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3"/>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3"/>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4"/>
        <w:rPr>
          <w:rFonts w:hint="eastAsia"/>
          <w:color w:val="auto"/>
        </w:rPr>
      </w:pPr>
    </w:p>
    <w:p>
      <w:pPr>
        <w:pStyle w:val="5"/>
        <w:rPr>
          <w:rFonts w:hint="eastAsia" w:ascii="Times New Roman" w:hAnsi="Times New Roman" w:eastAsia="宋体" w:cs="Times New Roman"/>
          <w:color w:val="auto"/>
          <w:kern w:val="2"/>
          <w:sz w:val="24"/>
          <w:szCs w:val="24"/>
          <w:highlight w:val="none"/>
          <w:lang w:val="en-US" w:eastAsia="zh-CN" w:bidi="ar-SA"/>
        </w:rPr>
      </w:pPr>
      <w:bookmarkStart w:id="57" w:name="_Toc10472"/>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bookmarkEnd w:id="57"/>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color w:val="auto"/>
          <w:sz w:val="24"/>
          <w:highlight w:val="none"/>
        </w:rPr>
      </w:pPr>
      <w:r>
        <w:rPr>
          <w:b/>
          <w:color w:val="auto"/>
          <w:sz w:val="32"/>
          <w:szCs w:val="32"/>
          <w:highlight w:val="none"/>
        </w:rPr>
        <w:br w:type="page"/>
      </w:r>
      <w:bookmarkStart w:id="58" w:name="_Toc5948"/>
      <w:bookmarkStart w:id="59"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8"/>
      <w:bookmarkEnd w:id="59"/>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1639"/>
        <w:gridCol w:w="1329"/>
        <w:gridCol w:w="869"/>
        <w:gridCol w:w="869"/>
        <w:gridCol w:w="876"/>
        <w:gridCol w:w="894"/>
        <w:gridCol w:w="14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6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7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5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5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525"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8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化粪池彻底清理并冲洗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维修污水泵</w:t>
            </w:r>
          </w:p>
        </w:tc>
        <w:tc>
          <w:tcPr>
            <w:tcW w:w="7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7.5KW</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更换电机绕组、密封圈、修复控制箱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更换叶轮、轴承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浮球阀1个</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更换施工费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安装调试费</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60" w:type="pct"/>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hint="eastAsia" w:ascii="宋体" w:hAnsi="宋体" w:eastAsia="宋体" w:cs="宋体"/>
                <w:i w:val="0"/>
                <w:iCs w:val="0"/>
                <w:color w:val="000000"/>
                <w:sz w:val="24"/>
                <w:szCs w:val="24"/>
                <w:u w:val="none"/>
              </w:rPr>
            </w:pPr>
          </w:p>
        </w:tc>
        <w:tc>
          <w:tcPr>
            <w:tcW w:w="32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83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bl>
    <w:p>
      <w:pPr>
        <w:spacing w:line="360" w:lineRule="auto"/>
        <w:jc w:val="left"/>
        <w:rPr>
          <w:rFonts w:hint="eastAsia"/>
          <w:color w:val="auto"/>
          <w:sz w:val="24"/>
          <w:highlight w:val="none"/>
        </w:rPr>
      </w:pPr>
    </w:p>
    <w:p>
      <w:pPr>
        <w:pStyle w:val="2"/>
        <w:rPr>
          <w:rFonts w:hint="eastAsia"/>
        </w:rPr>
      </w:pPr>
    </w:p>
    <w:p>
      <w:pPr>
        <w:spacing w:after="240" w:afterLines="100"/>
        <w:ind w:firstLine="480" w:firstLineChars="200"/>
        <w:rPr>
          <w:rFonts w:hint="default" w:ascii="宋体" w:hAnsi="宋体" w:eastAsia="宋体" w:cs="宋体"/>
          <w:i w:val="0"/>
          <w:iCs w:val="0"/>
          <w:color w:val="000000"/>
          <w:kern w:val="0"/>
          <w:sz w:val="24"/>
          <w:szCs w:val="24"/>
          <w:u w:val="none"/>
          <w:lang w:val="en-US" w:eastAsia="zh-CN" w:bidi="ar"/>
        </w:rPr>
      </w:pPr>
      <w:r>
        <w:rPr>
          <w:rFonts w:hint="eastAsia"/>
          <w:color w:val="auto"/>
          <w:sz w:val="24"/>
          <w:highlight w:val="none"/>
        </w:rPr>
        <w:t>注</w:t>
      </w:r>
      <w:r>
        <w:rPr>
          <w:color w:val="auto"/>
          <w:sz w:val="24"/>
          <w:highlight w:val="none"/>
        </w:rPr>
        <w:t>:</w:t>
      </w:r>
      <w:r>
        <w:rPr>
          <w:rFonts w:hint="eastAsia" w:ascii="宋体" w:hAnsi="宋体" w:cs="宋体"/>
          <w:color w:val="000000"/>
          <w:sz w:val="24"/>
        </w:rPr>
        <w:t>所有报价均用人民币表示，</w:t>
      </w:r>
      <w:r>
        <w:rPr>
          <w:rFonts w:hint="eastAsia" w:ascii="宋体" w:hAnsi="宋体" w:cs="宋体"/>
          <w:color w:val="000000"/>
          <w:sz w:val="24"/>
          <w:lang w:val="en-US" w:eastAsia="zh-CN"/>
        </w:rPr>
        <w:t>所报总价为包干价，</w:t>
      </w:r>
      <w:r>
        <w:rPr>
          <w:rFonts w:hint="eastAsia" w:ascii="宋体" w:hAnsi="宋体" w:eastAsia="宋体" w:cs="宋体"/>
          <w:i w:val="0"/>
          <w:iCs w:val="0"/>
          <w:color w:val="000000"/>
          <w:kern w:val="0"/>
          <w:sz w:val="24"/>
          <w:szCs w:val="24"/>
          <w:highlight w:val="yellow"/>
          <w:u w:val="none"/>
          <w:lang w:val="en-US" w:eastAsia="zh-CN" w:bidi="ar"/>
        </w:rPr>
        <w:t>包括但不限于人工费、材料费、机械费、安装费、施工费、措施费、规费、风险、合理利润、税金（增值税专用发票）、和保险等费等完成维修后污水泵达到自动运行的一切费用，如维修过程中需要更换污水泵零部件或清单以外零部件才能达到污水泵自动运行，则该费用由供应商承担。</w:t>
      </w:r>
    </w:p>
    <w:p>
      <w:pPr>
        <w:pStyle w:val="4"/>
        <w:spacing w:after="0" w:line="360" w:lineRule="auto"/>
        <w:ind w:firstLine="480" w:firstLineChars="200"/>
        <w:rPr>
          <w:rFonts w:hint="eastAsia" w:ascii="宋体" w:hAnsi="宋体" w:eastAsia="宋体" w:cs="Times New Roman"/>
          <w:b w:val="0"/>
          <w:bCs w:val="0"/>
          <w:color w:val="000000"/>
          <w:sz w:val="24"/>
          <w:highlight w:val="none"/>
          <w:lang w:val="en-US" w:eastAsia="zh-CN"/>
        </w:rPr>
      </w:pPr>
    </w:p>
    <w:p>
      <w:pPr>
        <w:numPr>
          <w:ilvl w:val="0"/>
          <w:numId w:val="0"/>
        </w:numPr>
        <w:adjustRightInd w:val="0"/>
        <w:spacing w:beforeLines="0" w:line="240" w:lineRule="auto"/>
        <w:ind w:firstLine="240" w:firstLineChars="100"/>
        <w:jc w:val="left"/>
        <w:rPr>
          <w:rFonts w:hint="eastAsia" w:ascii="宋体" w:hAnsi="宋体"/>
          <w:b w:val="0"/>
          <w:bCs w:val="0"/>
          <w:color w:val="000000"/>
          <w:sz w:val="24"/>
          <w:highlight w:val="none"/>
          <w:lang w:val="en-US" w:eastAsia="zh-CN"/>
        </w:rPr>
      </w:pPr>
      <w:r>
        <w:rPr>
          <w:rFonts w:hint="eastAsia" w:ascii="宋体" w:hAnsi="宋体" w:eastAsia="宋体" w:cs="Times New Roman"/>
          <w:b w:val="0"/>
          <w:bCs w:val="0"/>
          <w:color w:val="000000"/>
          <w:sz w:val="24"/>
          <w:highlight w:val="none"/>
          <w:lang w:val="en-US" w:eastAsia="zh-CN"/>
        </w:rPr>
        <w:t>2.报价表内的单价不能超过第</w:t>
      </w:r>
      <w:r>
        <w:rPr>
          <w:rFonts w:hint="eastAsia" w:ascii="宋体" w:hAnsi="宋体"/>
          <w:b w:val="0"/>
          <w:bCs w:val="0"/>
          <w:color w:val="000000"/>
          <w:sz w:val="24"/>
          <w:highlight w:val="none"/>
          <w:lang w:val="en-US" w:eastAsia="zh-CN"/>
        </w:rPr>
        <w:t>三章中的最高单价限价和最高总价限价。</w:t>
      </w:r>
    </w:p>
    <w:p>
      <w:pPr>
        <w:numPr>
          <w:ilvl w:val="0"/>
          <w:numId w:val="0"/>
        </w:numPr>
        <w:adjustRightInd w:val="0"/>
        <w:spacing w:beforeLines="0"/>
        <w:ind w:firstLine="240" w:firstLineChars="100"/>
        <w:jc w:val="left"/>
        <w:rPr>
          <w:rFonts w:hint="eastAsia"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cs="宋体"/>
          <w:sz w:val="24"/>
          <w:szCs w:val="24"/>
          <w:highlight w:val="none"/>
          <w:lang w:val="en-US" w:eastAsia="zh-CN"/>
        </w:rPr>
        <w:t>报价保留0位小数（不作废标处理）。</w:t>
      </w:r>
    </w:p>
    <w:p>
      <w:pPr>
        <w:pStyle w:val="4"/>
        <w:ind w:firstLine="241" w:firstLineChars="100"/>
        <w:rPr>
          <w:color w:val="auto"/>
          <w:sz w:val="24"/>
          <w:highlight w:val="none"/>
        </w:rPr>
      </w:pPr>
      <w:r>
        <w:rPr>
          <w:rFonts w:hint="eastAsia" w:cs="宋体"/>
          <w:b/>
          <w:bCs/>
          <w:sz w:val="24"/>
          <w:szCs w:val="24"/>
          <w:highlight w:val="yellow"/>
          <w:lang w:val="en-US" w:eastAsia="zh-CN"/>
        </w:rPr>
        <w:t>4.供应商报价税率按照3%计算，最终结算按供应商开票税率按实结算（税率差价按实结算，但供应商最终含税结算价不能超过最高限价，否则供应商报价无效）。</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60" w:name="_Toc15415"/>
      <w:bookmarkStart w:id="61"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60"/>
      <w:bookmarkEnd w:id="61"/>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2" w:name="_Toc91771169"/>
      <w:bookmarkStart w:id="63" w:name="_Toc16489"/>
      <w:bookmarkStart w:id="64" w:name="_Toc2589"/>
      <w:bookmarkStart w:id="65" w:name="_Toc1168"/>
      <w:bookmarkStart w:id="66" w:name="_Toc9917"/>
      <w:bookmarkStart w:id="67" w:name="_Toc30219"/>
      <w:bookmarkStart w:id="68"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2"/>
      <w:bookmarkEnd w:id="63"/>
      <w:bookmarkEnd w:id="64"/>
      <w:bookmarkEnd w:id="65"/>
      <w:bookmarkEnd w:id="66"/>
      <w:bookmarkEnd w:id="67"/>
      <w:bookmarkEnd w:id="68"/>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9" w:name="_Toc12316"/>
      <w:bookmarkStart w:id="70" w:name="_Toc91771170"/>
      <w:r>
        <w:rPr>
          <w:rFonts w:hint="eastAsia" w:ascii="黑体" w:hAnsi="黑体" w:eastAsia="黑体" w:cs="Arial"/>
          <w:bCs/>
          <w:color w:val="auto"/>
          <w:sz w:val="32"/>
          <w:szCs w:val="32"/>
          <w:highlight w:val="none"/>
        </w:rPr>
        <w:t>七、供应商基本情况表</w:t>
      </w:r>
      <w:bookmarkEnd w:id="69"/>
      <w:bookmarkEnd w:id="70"/>
    </w:p>
    <w:tbl>
      <w:tblPr>
        <w:tblStyle w:val="1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adjustRightInd w:val="0"/>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1" w:name="_Toc91771172"/>
      <w:r>
        <w:rPr>
          <w:rFonts w:hint="eastAsia" w:ascii="黑体" w:hAnsi="黑体" w:eastAsia="黑体" w:cs="Arial"/>
          <w:bCs/>
          <w:color w:val="auto"/>
          <w:sz w:val="32"/>
          <w:szCs w:val="32"/>
          <w:highlight w:val="none"/>
        </w:rPr>
        <w:t>九、商务、技术、服务要求应答表</w:t>
      </w:r>
      <w:bookmarkEnd w:id="71"/>
    </w:p>
    <w:tbl>
      <w:tblPr>
        <w:tblStyle w:val="17"/>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询价文件第三章技术要求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询价文件第三章服务要求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询价文件第三章商务要求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jc w:val="center"/>
        <w:rPr>
          <w:rStyle w:val="26"/>
          <w:rFonts w:hint="eastAsia" w:eastAsia="黑体"/>
          <w:color w:val="auto"/>
          <w:highlight w:val="none"/>
        </w:rPr>
      </w:pPr>
      <w:r>
        <w:rPr>
          <w:rFonts w:hint="eastAsia"/>
          <w:color w:val="auto"/>
          <w:highlight w:val="none"/>
        </w:rPr>
        <w:br w:type="page"/>
      </w:r>
      <w:bookmarkStart w:id="72" w:name="_Toc91771176"/>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3" w:name="_Toc91771177"/>
      <w:bookmarkStart w:id="74" w:name="_Toc24671"/>
      <w:r>
        <w:rPr>
          <w:rFonts w:hint="eastAsia" w:ascii="宋体" w:hAnsi="宋体"/>
          <w:b/>
          <w:bCs/>
          <w:color w:val="auto"/>
          <w:sz w:val="24"/>
          <w:highlight w:val="none"/>
        </w:rPr>
        <w:t>一、询价程序</w:t>
      </w:r>
      <w:bookmarkEnd w:id="73"/>
      <w:bookmarkEnd w:id="7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13520"/>
      <w:bookmarkStart w:id="76" w:name="_Toc91771178"/>
      <w:r>
        <w:rPr>
          <w:rFonts w:hint="eastAsia" w:ascii="宋体" w:hAnsi="宋体"/>
          <w:b/>
          <w:bCs/>
          <w:color w:val="auto"/>
          <w:sz w:val="24"/>
          <w:highlight w:val="none"/>
        </w:rPr>
        <w:t>二、评审程序、评审方法、评审标准</w:t>
      </w:r>
      <w:bookmarkEnd w:id="75"/>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19962"/>
      <w:bookmarkStart w:id="78" w:name="_Toc91771179"/>
      <w:r>
        <w:rPr>
          <w:rFonts w:hint="eastAsia" w:ascii="宋体" w:hAnsi="宋体"/>
          <w:b/>
          <w:bCs/>
          <w:color w:val="auto"/>
          <w:sz w:val="24"/>
          <w:highlight w:val="none"/>
        </w:rPr>
        <w:t>三、评审纪律</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6"/>
      <w:bookmarkEnd w:id="37"/>
      <w:bookmarkEnd w:id="38"/>
      <w:bookmarkStart w:id="79" w:name="_Hlt101846155"/>
      <w:bookmarkEnd w:id="79"/>
      <w:bookmarkStart w:id="80" w:name="_Toc217446099"/>
      <w:bookmarkStart w:id="81"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2" w:name="_Toc11382"/>
      <w:bookmarkStart w:id="83" w:name="_Toc91771180"/>
      <w:r>
        <w:rPr>
          <w:rFonts w:hint="eastAsia" w:ascii="黑体" w:hAnsi="黑体" w:eastAsia="黑体"/>
          <w:color w:val="auto"/>
          <w:sz w:val="36"/>
          <w:highlight w:val="none"/>
        </w:rPr>
        <w:t>第七章 采购合同（草案）</w:t>
      </w:r>
      <w:bookmarkEnd w:id="82"/>
      <w:bookmarkEnd w:id="83"/>
    </w:p>
    <w:bookmarkEnd w:id="80"/>
    <w:bookmarkEnd w:id="81"/>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甲方（采购人）：泸州市江阳区醉美城市公园管理有限公司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社会统一信用代码：91510502071441903H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法人代表：魏强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联系电话：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地址：泸州市江阳区酒城大道三段华阳街道胜景南路53号1栋2层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楷体" w:hAnsi="楷体" w:eastAsia="楷体" w:cs="楷体"/>
          <w:b w:val="0"/>
          <w:bCs w:val="0"/>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乙方（供应商）：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 xml:space="preserve">统一社会信用代码/身份证号码：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法定代表人/负责人：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联系电话：</w:t>
      </w:r>
    </w:p>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楷体" w:hAnsi="楷体" w:eastAsia="楷体" w:cs="楷体"/>
          <w:b w:val="0"/>
          <w:bCs w:val="0"/>
          <w:color w:val="auto"/>
          <w:sz w:val="28"/>
          <w:szCs w:val="28"/>
          <w:lang w:val="en-US" w:eastAsia="zh-CN"/>
        </w:rPr>
      </w:pPr>
      <w:r>
        <w:rPr>
          <w:rFonts w:hint="eastAsia" w:ascii="楷体" w:hAnsi="楷体" w:eastAsia="楷体" w:cs="楷体"/>
          <w:b w:val="0"/>
          <w:bCs w:val="0"/>
          <w:color w:val="auto"/>
          <w:sz w:val="28"/>
          <w:szCs w:val="28"/>
          <w:lang w:val="en-US" w:eastAsia="zh-CN"/>
        </w:rPr>
        <w:t>联系地址：</w:t>
      </w:r>
      <w:bookmarkStart w:id="84" w:name="_Toc4072"/>
      <w:bookmarkStart w:id="85" w:name="_Toc18191"/>
      <w:bookmarkStart w:id="86" w:name="_Toc1053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楷体" w:hAnsi="楷体" w:eastAsia="楷体" w:cs="楷体"/>
          <w:b w:val="0"/>
          <w:bCs w:val="0"/>
          <w:color w:val="auto"/>
          <w:sz w:val="28"/>
          <w:szCs w:val="28"/>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甲乙双方就化粪池污水泵更换项目,根据《中华人民共和国民法典》及相关法律法规规定等，达成如下协议：</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一、工程概况</w:t>
      </w:r>
      <w:bookmarkEnd w:id="84"/>
      <w:bookmarkEnd w:id="85"/>
      <w:bookmarkEnd w:id="86"/>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1.工程名称：</w:t>
      </w:r>
      <w:r>
        <w:rPr>
          <w:rFonts w:hint="eastAsia" w:ascii="仿宋_GB2312" w:hAnsi="仿宋_GB2312" w:eastAsia="仿宋_GB2312" w:cs="仿宋_GB2312"/>
          <w:sz w:val="28"/>
          <w:szCs w:val="28"/>
          <w:u w:val="single"/>
          <w:lang w:val="en-US" w:eastAsia="zh-CN"/>
        </w:rPr>
        <w:t xml:space="preserve"> 江阳公园污水泵维修项目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2.工程地点：</w:t>
      </w:r>
      <w:r>
        <w:rPr>
          <w:rFonts w:hint="eastAsia" w:ascii="仿宋_GB2312" w:hAnsi="仿宋_GB2312" w:eastAsia="仿宋_GB2312" w:cs="仿宋_GB2312"/>
          <w:sz w:val="28"/>
          <w:szCs w:val="28"/>
          <w:u w:val="single"/>
          <w:lang w:val="en-US" w:eastAsia="zh-CN"/>
        </w:rPr>
        <w:t xml:space="preserve">江阳公园   </w:t>
      </w: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lang w:val="en-US" w:eastAsia="zh-CN"/>
        </w:rPr>
        <w:t>3.工程内容：</w:t>
      </w:r>
      <w:r>
        <w:rPr>
          <w:rFonts w:hint="eastAsia" w:ascii="仿宋_GB2312" w:hAnsi="仿宋_GB2312" w:eastAsia="仿宋_GB2312" w:cs="仿宋_GB2312"/>
          <w:sz w:val="28"/>
          <w:szCs w:val="28"/>
          <w:u w:val="single"/>
          <w:lang w:val="en-US" w:eastAsia="zh-CN"/>
        </w:rPr>
        <w:t>江阳公园污水泵维修明细表（详见附件）。</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87" w:name="_Toc6378"/>
      <w:bookmarkStart w:id="88" w:name="_Toc29959"/>
      <w:bookmarkStart w:id="89" w:name="_Toc30963"/>
      <w:r>
        <w:rPr>
          <w:rFonts w:hint="eastAsia" w:ascii="仿宋_GB2312" w:hAnsi="仿宋_GB2312" w:eastAsia="仿宋_GB2312" w:cs="仿宋_GB2312"/>
          <w:b/>
          <w:bCs/>
          <w:sz w:val="28"/>
          <w:szCs w:val="28"/>
          <w:lang w:val="en-US" w:eastAsia="zh-CN"/>
        </w:rPr>
        <w:t>二、工程价款</w:t>
      </w:r>
      <w:bookmarkEnd w:id="87"/>
      <w:bookmarkEnd w:id="88"/>
      <w:bookmarkEnd w:id="89"/>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1.承包方式：包工包料。</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default"/>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color w:val="auto"/>
          <w:sz w:val="28"/>
          <w:szCs w:val="28"/>
          <w:highlight w:val="none"/>
        </w:rPr>
        <w:t>合同价款：本合同价款为人民币</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大写</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税率</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总价包干。</w:t>
      </w:r>
      <w:r>
        <w:rPr>
          <w:rFonts w:hint="eastAsia" w:ascii="仿宋_GB2312" w:hAnsi="仿宋_GB2312" w:eastAsia="仿宋_GB2312" w:cs="仿宋_GB2312"/>
          <w:color w:val="auto"/>
          <w:sz w:val="28"/>
          <w:szCs w:val="28"/>
          <w:highlight w:val="none"/>
          <w:u w:val="single"/>
        </w:rPr>
        <w:t>包括但不限于人工费、材料费、机械费、</w:t>
      </w:r>
      <w:r>
        <w:rPr>
          <w:rFonts w:hint="eastAsia" w:ascii="仿宋_GB2312" w:hAnsi="仿宋_GB2312" w:eastAsia="仿宋_GB2312" w:cs="仿宋_GB2312"/>
          <w:color w:val="auto"/>
          <w:sz w:val="28"/>
          <w:szCs w:val="28"/>
          <w:highlight w:val="none"/>
          <w:u w:val="single"/>
          <w:lang w:eastAsia="zh-CN"/>
        </w:rPr>
        <w:t>安装费、施工费、</w:t>
      </w:r>
      <w:r>
        <w:rPr>
          <w:rFonts w:hint="eastAsia" w:ascii="仿宋_GB2312" w:hAnsi="仿宋_GB2312" w:eastAsia="仿宋_GB2312" w:cs="仿宋_GB2312"/>
          <w:color w:val="auto"/>
          <w:sz w:val="28"/>
          <w:szCs w:val="28"/>
          <w:highlight w:val="none"/>
          <w:u w:val="single"/>
          <w:lang w:val="en-US" w:eastAsia="zh-CN"/>
        </w:rPr>
        <w:t>措施费、</w:t>
      </w:r>
      <w:r>
        <w:rPr>
          <w:rFonts w:hint="eastAsia" w:ascii="仿宋_GB2312" w:hAnsi="仿宋_GB2312" w:eastAsia="仿宋_GB2312" w:cs="仿宋_GB2312"/>
          <w:color w:val="auto"/>
          <w:sz w:val="28"/>
          <w:szCs w:val="28"/>
          <w:highlight w:val="none"/>
          <w:u w:val="single"/>
        </w:rPr>
        <w:t>规费、风险、合理利润、税金</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增值税专用发票</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和保险等费</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kern w:val="2"/>
          <w:sz w:val="28"/>
          <w:szCs w:val="28"/>
          <w:lang w:val="en-US" w:eastAsia="zh-CN" w:bidi="ar-SA"/>
        </w:rPr>
        <w:t>完成维修后污水泵达到自动运行的一切费用，如维修过程中需要更换污水泵零部件或清单以外零部件才能达到污水泵自动运行，则该费用由乙方承担。</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0" w:name="_Toc3380"/>
      <w:bookmarkStart w:id="91" w:name="_Toc25910"/>
      <w:bookmarkStart w:id="92" w:name="_Toc7004"/>
      <w:r>
        <w:rPr>
          <w:rFonts w:hint="eastAsia" w:ascii="仿宋_GB2312" w:hAnsi="仿宋_GB2312" w:eastAsia="仿宋_GB2312" w:cs="仿宋_GB2312"/>
          <w:b/>
          <w:bCs/>
          <w:sz w:val="28"/>
          <w:szCs w:val="28"/>
          <w:lang w:val="en-US" w:eastAsia="zh-CN"/>
        </w:rPr>
        <w:t>三、工程实施</w:t>
      </w:r>
      <w:bookmarkEnd w:id="90"/>
      <w:bookmarkEnd w:id="91"/>
      <w:bookmarkEnd w:id="92"/>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乙方必须按照甲方要求组织施工，严格控制工程量增减，如因乙方施工措施等原因造成的工程量增加，其费用由乙方承担。</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3" w:name="_Toc16626"/>
      <w:bookmarkStart w:id="94" w:name="_Toc14133"/>
      <w:bookmarkStart w:id="95" w:name="_Toc276"/>
      <w:r>
        <w:rPr>
          <w:rFonts w:hint="eastAsia" w:ascii="仿宋_GB2312" w:hAnsi="仿宋_GB2312" w:eastAsia="仿宋_GB2312" w:cs="仿宋_GB2312"/>
          <w:b/>
          <w:bCs/>
          <w:sz w:val="28"/>
          <w:szCs w:val="28"/>
          <w:lang w:val="en-US" w:eastAsia="zh-CN"/>
        </w:rPr>
        <w:t>四、工程质量要求</w:t>
      </w:r>
      <w:bookmarkEnd w:id="93"/>
      <w:bookmarkEnd w:id="94"/>
      <w:bookmarkEnd w:id="95"/>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施工质量验收规范，</w:t>
      </w:r>
      <w:r>
        <w:rPr>
          <w:rFonts w:hint="eastAsia" w:ascii="仿宋_GB2312" w:hAnsi="仿宋_GB2312" w:eastAsia="仿宋_GB2312" w:cs="仿宋_GB2312"/>
          <w:sz w:val="28"/>
          <w:szCs w:val="28"/>
          <w:highlight w:val="none"/>
          <w:lang w:val="en-US" w:eastAsia="zh-CN"/>
        </w:rPr>
        <w:t>符合甲方验收标准。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6" w:name="_Toc6186"/>
      <w:bookmarkStart w:id="97" w:name="_Toc28740"/>
      <w:bookmarkStart w:id="98" w:name="_Toc31088"/>
      <w:r>
        <w:rPr>
          <w:rFonts w:hint="eastAsia" w:ascii="仿宋_GB2312" w:hAnsi="仿宋_GB2312" w:eastAsia="仿宋_GB2312" w:cs="仿宋_GB2312"/>
          <w:b/>
          <w:bCs/>
          <w:sz w:val="28"/>
          <w:szCs w:val="28"/>
          <w:lang w:val="en-US" w:eastAsia="zh-CN"/>
        </w:rPr>
        <w:t>五、</w:t>
      </w:r>
      <w:bookmarkEnd w:id="96"/>
      <w:bookmarkEnd w:id="97"/>
      <w:bookmarkEnd w:id="98"/>
      <w:r>
        <w:rPr>
          <w:rFonts w:hint="eastAsia" w:ascii="仿宋_GB2312" w:hAnsi="仿宋_GB2312" w:eastAsia="仿宋_GB2312" w:cs="仿宋_GB2312"/>
          <w:b/>
          <w:bCs/>
          <w:sz w:val="28"/>
          <w:szCs w:val="28"/>
          <w:lang w:val="en-US" w:eastAsia="zh-CN"/>
        </w:rPr>
        <w:t>工期</w:t>
      </w:r>
    </w:p>
    <w:p>
      <w:pPr>
        <w:pStyle w:val="4"/>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工期：合同签订接到采购人通知后10个日历日内完成。</w:t>
      </w:r>
    </w:p>
    <w:p>
      <w:pPr>
        <w:keepNext w:val="0"/>
        <w:keepLines w:val="0"/>
        <w:pageBreakBefore w:val="0"/>
        <w:widowControl w:val="0"/>
        <w:numPr>
          <w:ilvl w:val="0"/>
          <w:numId w:val="4"/>
        </w:numPr>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99" w:name="_Toc17164"/>
      <w:bookmarkStart w:id="100" w:name="_Toc31953"/>
      <w:bookmarkStart w:id="101" w:name="_Toc9512"/>
      <w:r>
        <w:rPr>
          <w:rFonts w:hint="eastAsia" w:ascii="仿宋_GB2312" w:hAnsi="仿宋_GB2312" w:eastAsia="仿宋_GB2312" w:cs="仿宋_GB2312"/>
          <w:b/>
          <w:bCs/>
          <w:sz w:val="28"/>
          <w:szCs w:val="28"/>
          <w:lang w:val="en-US" w:eastAsia="zh-CN"/>
        </w:rPr>
        <w:t>工程款支付</w:t>
      </w:r>
      <w:bookmarkEnd w:id="99"/>
      <w:bookmarkEnd w:id="100"/>
      <w:bookmarkEnd w:id="101"/>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b w:val="0"/>
          <w:bCs w:val="0"/>
          <w:sz w:val="28"/>
          <w:szCs w:val="28"/>
          <w:lang w:val="en-US" w:eastAsia="zh-CN"/>
        </w:rPr>
        <w:t>经甲方验收合格，乙方根据甲方要求提供等额有效的增值税专用发票后，甲方在15个工作日内一次性支付合同价款的97%给乙方，预留3%作为质保金，在验收合格满后凭乙方付款申请无息支付。</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2.付款方式银行转账，乙方账户信息如下：</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 xml:space="preserve">户  </w:t>
      </w:r>
      <w:r>
        <w:rPr>
          <w:rFonts w:hint="eastAsia" w:ascii="仿宋_GB2312" w:hAnsi="仿宋_GB2312" w:eastAsia="仿宋_GB2312" w:cs="仿宋_GB2312"/>
          <w:sz w:val="28"/>
          <w:szCs w:val="28"/>
          <w:highlight w:val="none"/>
          <w:lang w:val="en-US" w:eastAsia="zh-CN"/>
        </w:rPr>
        <w:t xml:space="preserve">名：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开户行：   </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lang w:val="en-US" w:eastAsia="zh-CN"/>
        </w:rPr>
        <w:t xml:space="preserve">银行账号：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3.材料涨跌幅：不予调差。</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u w:val="none"/>
          <w:lang w:val="en-US" w:eastAsia="zh-CN"/>
        </w:rPr>
      </w:pPr>
      <w:bookmarkStart w:id="102" w:name="_Toc8549"/>
      <w:bookmarkStart w:id="103" w:name="_Toc28570"/>
      <w:bookmarkStart w:id="104" w:name="_Toc22833"/>
      <w:r>
        <w:rPr>
          <w:rFonts w:hint="eastAsia" w:ascii="仿宋_GB2312" w:hAnsi="仿宋_GB2312" w:eastAsia="仿宋_GB2312" w:cs="仿宋_GB2312"/>
          <w:b/>
          <w:bCs/>
          <w:sz w:val="28"/>
          <w:szCs w:val="28"/>
          <w:u w:val="none"/>
          <w:lang w:val="en-US" w:eastAsia="zh-CN"/>
        </w:rPr>
        <w:t>七、甲乙双方权利义务</w:t>
      </w:r>
      <w:bookmarkEnd w:id="102"/>
      <w:bookmarkEnd w:id="103"/>
      <w:bookmarkEnd w:id="104"/>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outlineLvl w:val="9"/>
        <w:rPr>
          <w:rFonts w:hint="eastAsia" w:ascii="仿宋_GB2312" w:hAnsi="仿宋_GB2312" w:eastAsia="仿宋_GB2312" w:cs="仿宋_GB2312"/>
          <w:sz w:val="28"/>
          <w:szCs w:val="28"/>
          <w:lang w:val="en-US" w:eastAsia="zh-CN"/>
        </w:rPr>
      </w:pPr>
      <w:bookmarkStart w:id="105" w:name="_Toc621"/>
      <w:bookmarkStart w:id="106" w:name="_Toc6920"/>
      <w:bookmarkStart w:id="107" w:name="_Toc32739"/>
      <w:r>
        <w:rPr>
          <w:rFonts w:hint="eastAsia" w:ascii="仿宋_GB2312" w:hAnsi="仿宋_GB2312" w:eastAsia="仿宋_GB2312" w:cs="仿宋_GB2312"/>
          <w:sz w:val="28"/>
          <w:szCs w:val="28"/>
          <w:lang w:val="en-US" w:eastAsia="zh-CN"/>
        </w:rPr>
        <w:t>1.甲方的权利义务</w:t>
      </w:r>
      <w:bookmarkEnd w:id="105"/>
      <w:bookmarkEnd w:id="106"/>
      <w:bookmarkEnd w:id="10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甲方有权对施工现场进行巡查，督查乙方按要求施工，纠正乙方未按要求施工及其他违反施工相关规范行为，如乙方未按要求整改，甲方有权要求停工并拒付有关费用；</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outlineLvl w:val="9"/>
        <w:rPr>
          <w:rFonts w:hint="eastAsia" w:ascii="仿宋_GB2312" w:hAnsi="仿宋_GB2312" w:eastAsia="仿宋_GB2312" w:cs="仿宋_GB2312"/>
          <w:sz w:val="28"/>
          <w:szCs w:val="28"/>
          <w:lang w:val="en-US" w:eastAsia="zh-CN"/>
        </w:rPr>
      </w:pPr>
      <w:bookmarkStart w:id="108" w:name="_Toc6917"/>
      <w:bookmarkStart w:id="109" w:name="_Toc15954"/>
      <w:bookmarkStart w:id="110" w:name="_Toc14046"/>
      <w:r>
        <w:rPr>
          <w:rFonts w:hint="eastAsia" w:ascii="仿宋_GB2312" w:hAnsi="仿宋_GB2312" w:eastAsia="仿宋_GB2312" w:cs="仿宋_GB2312"/>
          <w:sz w:val="28"/>
          <w:szCs w:val="28"/>
          <w:lang w:val="en-US" w:eastAsia="zh-CN"/>
        </w:rPr>
        <w:t>2.乙方的权利义务</w:t>
      </w:r>
      <w:bookmarkEnd w:id="108"/>
      <w:bookmarkEnd w:id="109"/>
      <w:bookmarkEnd w:id="110"/>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2.1乙方按要求组织施工，保质、保量、按期完成施工任务、解决由乙方负责的各项事宜；</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2.2严格执行施工规范、安全操作规程；</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2.3工程竣工未移交甲方之前，负责对现场的设施和施工成品进行保护和保管；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114300" distR="114300" simplePos="0" relativeHeight="251663360" behindDoc="1" locked="0" layoutInCell="1" allowOverlap="1">
            <wp:simplePos x="0" y="0"/>
            <wp:positionH relativeFrom="column">
              <wp:posOffset>2156460</wp:posOffset>
            </wp:positionH>
            <wp:positionV relativeFrom="paragraph">
              <wp:posOffset>401320</wp:posOffset>
            </wp:positionV>
            <wp:extent cx="1485900" cy="495300"/>
            <wp:effectExtent l="24130" t="338455" r="33020" b="347345"/>
            <wp:wrapNone/>
            <wp:docPr id="2" name="图片 2"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兴阳集团logo"/>
                    <pic:cNvPicPr>
                      <a:picLocks noChangeAspect="1"/>
                    </pic:cNvPicPr>
                  </pic:nvPicPr>
                  <pic:blipFill>
                    <a:blip r:embed="rId19">
                      <a:grayscl/>
                      <a:lum bright="69995" contrast="-70001"/>
                    </a:blip>
                    <a:stretch>
                      <a:fillRect/>
                    </a:stretch>
                  </pic:blipFill>
                  <pic:spPr>
                    <a:xfrm rot="-1800000">
                      <a:off x="0" y="0"/>
                      <a:ext cx="1485900" cy="495300"/>
                    </a:xfrm>
                    <a:prstGeom prst="rect">
                      <a:avLst/>
                    </a:prstGeom>
                    <a:noFill/>
                    <a:ln>
                      <a:noFill/>
                    </a:ln>
                  </pic:spPr>
                </pic:pic>
              </a:graphicData>
            </a:graphic>
          </wp:anchor>
        </w:drawing>
      </w:r>
      <w:r>
        <w:rPr>
          <w:rFonts w:hint="eastAsia" w:ascii="仿宋_GB2312" w:hAnsi="仿宋_GB2312" w:eastAsia="仿宋_GB2312" w:cs="仿宋_GB2312"/>
          <w:sz w:val="28"/>
          <w:szCs w:val="28"/>
          <w:lang w:val="en-US" w:eastAsia="zh-CN"/>
        </w:rPr>
        <w:t>2.4对竣工验收后保修期内发现的证实属于乙方责任的质量问题，乙方免费维修更换；</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2.5乙方必须在项目施工现场应设置一名安全员，施工人员需具备有限空间作业相关资质，施工区域设置围挡并摆放明显的施工标志和采取适当的安全措施，按要求文明施工，安全施工。施工期间发生</w:t>
      </w:r>
      <w:r>
        <w:rPr>
          <w:rFonts w:hint="eastAsia" w:ascii="仿宋_GB2312" w:hAnsi="仿宋_GB2312" w:eastAsia="仿宋_GB2312" w:cs="仿宋_GB2312"/>
          <w:kern w:val="2"/>
          <w:sz w:val="28"/>
          <w:szCs w:val="28"/>
          <w:lang w:val="en-US" w:eastAsia="zh-CN" w:bidi="ar-SA"/>
        </w:rPr>
        <w:t>的任何安全事故、经济损失以及法律纠纷等</w:t>
      </w:r>
      <w:r>
        <w:rPr>
          <w:rFonts w:hint="eastAsia" w:ascii="仿宋_GB2312" w:hAnsi="仿宋_GB2312" w:eastAsia="仿宋_GB2312" w:cs="仿宋_GB2312"/>
          <w:sz w:val="28"/>
          <w:szCs w:val="28"/>
          <w:lang w:val="en-US" w:eastAsia="zh-CN"/>
        </w:rPr>
        <w:t>，由乙方全部承担。</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216" w:leftChars="103" w:firstLine="420" w:firstLineChars="15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kern w:val="2"/>
          <w:sz w:val="28"/>
          <w:szCs w:val="28"/>
          <w:lang w:val="en-US" w:eastAsia="zh-CN" w:bidi="ar-SA"/>
        </w:rPr>
        <w:t>施工要求：（1）严格按照《有限空间作业安全管理制度》及相关法律法规等有关有限空间施工规范制度要求进场施工。</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left="216" w:leftChars="103" w:firstLine="420" w:firstLineChars="150"/>
        <w:jc w:val="left"/>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2.7制定完善的有限空间作业施工及事故救援方案。</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11" w:name="_Toc19400"/>
      <w:bookmarkStart w:id="112" w:name="_Toc30299"/>
      <w:bookmarkStart w:id="113" w:name="_Toc5004"/>
      <w:r>
        <w:rPr>
          <w:rFonts w:hint="eastAsia" w:ascii="仿宋_GB2312" w:hAnsi="仿宋_GB2312" w:eastAsia="仿宋_GB2312" w:cs="仿宋_GB2312"/>
          <w:b/>
          <w:bCs/>
          <w:sz w:val="28"/>
          <w:szCs w:val="28"/>
          <w:lang w:val="en-US" w:eastAsia="zh-CN"/>
        </w:rPr>
        <w:t>八、双方违约责任</w:t>
      </w:r>
      <w:bookmarkEnd w:id="111"/>
      <w:bookmarkEnd w:id="112"/>
      <w:bookmarkEnd w:id="113"/>
    </w:p>
    <w:p>
      <w:pPr>
        <w:pStyle w:val="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1"/>
        <w:rPr>
          <w:rFonts w:hint="eastAsia" w:ascii="仿宋_GB2312" w:hAnsi="仿宋_GB2312" w:eastAsia="仿宋_GB2312" w:cs="仿宋_GB2312"/>
          <w:b w:val="0"/>
          <w:bCs/>
          <w:sz w:val="28"/>
          <w:szCs w:val="28"/>
          <w:highlight w:val="none"/>
          <w:lang w:val="en-US" w:eastAsia="zh-CN"/>
        </w:rPr>
      </w:pPr>
      <w:bookmarkStart w:id="114" w:name="_Toc2755"/>
      <w:r>
        <w:rPr>
          <w:rFonts w:hint="eastAsia" w:ascii="仿宋_GB2312" w:hAnsi="仿宋_GB2312" w:eastAsia="仿宋_GB2312" w:cs="仿宋_GB2312"/>
          <w:b w:val="0"/>
          <w:bCs/>
          <w:sz w:val="28"/>
          <w:szCs w:val="28"/>
          <w:highlight w:val="none"/>
          <w:lang w:val="en-US" w:eastAsia="zh-CN"/>
        </w:rPr>
        <w:t>1.若任意一方违反合同约定其他义务，应按合同金额的10%向相对方支付违约责任，违约方支付违约金后应继续履行合同。上述违约金不足以弥补相对方损失的，违约方应补足。</w:t>
      </w:r>
      <w:bookmarkEnd w:id="114"/>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2.因乙方原因造成双方人员或第三人人身和财产损失的，由乙方承担责任，并赔偿全部损失和法律责任。</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15" w:name="_Toc17134"/>
      <w:bookmarkStart w:id="116" w:name="_Toc30412"/>
      <w:bookmarkStart w:id="117" w:name="_Toc26663"/>
      <w:r>
        <w:rPr>
          <w:rFonts w:hint="eastAsia" w:ascii="仿宋_GB2312" w:hAnsi="仿宋_GB2312" w:eastAsia="仿宋_GB2312" w:cs="仿宋_GB2312"/>
          <w:b/>
          <w:bCs/>
          <w:sz w:val="28"/>
          <w:szCs w:val="28"/>
          <w:lang w:val="en-US" w:eastAsia="zh-CN"/>
        </w:rPr>
        <w:t>九、验收</w:t>
      </w:r>
      <w:bookmarkEnd w:id="115"/>
      <w:bookmarkEnd w:id="116"/>
      <w:bookmarkEnd w:id="11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工程完工后，乙方应通知甲方验收。甲方应在接到通知后3个工作日内组织人员进行验收。如甲方在规定时间内未能验收，需及时书面通知乙方，另定验收日期。</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18" w:name="_Toc13360"/>
      <w:bookmarkStart w:id="119" w:name="_Toc27697"/>
      <w:bookmarkStart w:id="120" w:name="_Toc8855"/>
      <w:r>
        <w:rPr>
          <w:rFonts w:hint="eastAsia" w:ascii="仿宋_GB2312" w:hAnsi="仿宋_GB2312" w:eastAsia="仿宋_GB2312" w:cs="仿宋_GB2312"/>
          <w:b/>
          <w:bCs/>
          <w:sz w:val="28"/>
          <w:szCs w:val="28"/>
          <w:lang w:val="en-US" w:eastAsia="zh-CN"/>
        </w:rPr>
        <w:t>十、工程保修</w:t>
      </w:r>
      <w:bookmarkEnd w:id="118"/>
      <w:bookmarkEnd w:id="119"/>
      <w:bookmarkEnd w:id="120"/>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1.本工程保修责任期：本工程约定的保修期为：6个月；保修范围为乙方施工的工程项目范围。质量保修期自工程竣工验收合格之日起计算；</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2.在保修期内，乙方施工范围的内容出现质量问题，由乙方按合同要求进行维修更换，产生的费用由乙方自行承担。</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21" w:name="_Toc13247"/>
      <w:bookmarkStart w:id="122" w:name="_Toc3468"/>
      <w:bookmarkStart w:id="123" w:name="_Toc7759"/>
      <w:bookmarkStart w:id="124" w:name="_Toc20517"/>
      <w:bookmarkStart w:id="125" w:name="_Toc5663_WPSOffice_Level2"/>
      <w:r>
        <w:rPr>
          <w:rFonts w:hint="eastAsia" w:ascii="仿宋_GB2312" w:hAnsi="仿宋_GB2312" w:eastAsia="仿宋_GB2312" w:cs="仿宋_GB2312"/>
          <w:b/>
          <w:bCs/>
          <w:sz w:val="28"/>
          <w:szCs w:val="28"/>
          <w:lang w:val="en-US" w:eastAsia="zh-CN"/>
        </w:rPr>
        <w:t>十一、合同解除和终止</w:t>
      </w:r>
      <w:bookmarkEnd w:id="121"/>
      <w:bookmarkEnd w:id="122"/>
      <w:bookmarkEnd w:id="123"/>
      <w:bookmarkEnd w:id="124"/>
      <w:bookmarkEnd w:id="125"/>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有下列情形之一的可以解除合同：</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126" w:name="_Toc29390"/>
      <w:bookmarkStart w:id="127" w:name="_Toc27466_WPSOffice_Level3"/>
      <w:r>
        <w:rPr>
          <w:rFonts w:hint="eastAsia" w:ascii="仿宋_GB2312" w:hAnsi="仿宋_GB2312" w:eastAsia="仿宋_GB2312" w:cs="仿宋_GB2312"/>
          <w:sz w:val="28"/>
          <w:szCs w:val="28"/>
          <w:lang w:val="en-US" w:eastAsia="zh-CN"/>
        </w:rPr>
        <w:t>1.甲乙双方协商一致；</w:t>
      </w:r>
      <w:bookmarkEnd w:id="126"/>
      <w:bookmarkEnd w:id="127"/>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128" w:name="_Toc10831_WPSOffice_Level3"/>
      <w:bookmarkStart w:id="129" w:name="_Toc5421"/>
      <w:r>
        <w:rPr>
          <w:rFonts w:hint="eastAsia" w:ascii="仿宋_GB2312" w:hAnsi="仿宋_GB2312" w:eastAsia="仿宋_GB2312" w:cs="仿宋_GB2312"/>
          <w:sz w:val="28"/>
          <w:szCs w:val="28"/>
          <w:lang w:val="en-US" w:eastAsia="zh-CN"/>
        </w:rPr>
        <w:t>2.因规划调整、政策调整、不可抗力等原因导致本合同提前解除的，双方互不负违约责任；</w:t>
      </w:r>
    </w:p>
    <w:bookmarkEnd w:id="128"/>
    <w:bookmarkEnd w:id="129"/>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bookmarkStart w:id="130" w:name="_Toc22239"/>
      <w:bookmarkStart w:id="131" w:name="_Toc6884_WPSOffice_Level3"/>
      <w:r>
        <w:rPr>
          <w:rFonts w:hint="eastAsia" w:ascii="仿宋_GB2312" w:hAnsi="仿宋_GB2312" w:eastAsia="仿宋_GB2312" w:cs="仿宋_GB2312"/>
          <w:sz w:val="28"/>
          <w:szCs w:val="28"/>
          <w:lang w:val="en-US" w:eastAsia="zh-CN"/>
        </w:rPr>
        <w:t>3.因一方违约致合同无法履行</w:t>
      </w:r>
      <w:bookmarkEnd w:id="130"/>
      <w:bookmarkEnd w:id="131"/>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4.甲方双方在无违约情形下履行完本合同全部义务，本合同即告终止。</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w:t>
      </w:r>
      <w:bookmarkStart w:id="132" w:name="_Toc12337"/>
      <w:bookmarkStart w:id="133" w:name="_Toc9166"/>
      <w:bookmarkStart w:id="134" w:name="_Toc24588"/>
      <w:r>
        <w:rPr>
          <w:rFonts w:hint="eastAsia" w:ascii="仿宋_GB2312" w:hAnsi="仿宋_GB2312" w:eastAsia="仿宋_GB2312" w:cs="仿宋_GB2312"/>
          <w:b/>
          <w:bCs/>
          <w:sz w:val="28"/>
          <w:szCs w:val="28"/>
          <w:lang w:val="en-US" w:eastAsia="zh-CN"/>
        </w:rPr>
        <w:t>十二、廉洁条款</w:t>
      </w:r>
      <w:bookmarkEnd w:id="132"/>
      <w:bookmarkEnd w:id="133"/>
      <w:bookmarkEnd w:id="134"/>
    </w:p>
    <w:p>
      <w:pPr>
        <w:pStyle w:val="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2"/>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lang w:val="en-US" w:eastAsia="zh-CN"/>
        </w:rPr>
        <w:t>2.乙方及其工作人员如有违反本条款的，</w:t>
      </w:r>
      <w:r>
        <w:rPr>
          <w:rFonts w:hint="default" w:ascii="仿宋_GB2312" w:hAnsi="仿宋_GB2312" w:eastAsia="仿宋_GB2312" w:cs="仿宋_GB2312"/>
          <w:sz w:val="28"/>
          <w:szCs w:val="28"/>
          <w:lang w:val="en-US" w:eastAsia="zh-CN"/>
        </w:rPr>
        <w:t>按合同总金额的10%</w:t>
      </w:r>
      <w:r>
        <w:rPr>
          <w:rFonts w:hint="eastAsia" w:ascii="仿宋_GB2312" w:hAnsi="仿宋_GB2312" w:eastAsia="仿宋_GB2312" w:cs="仿宋_GB2312"/>
          <w:sz w:val="28"/>
          <w:szCs w:val="28"/>
          <w:lang w:val="en-US" w:eastAsia="zh-CN"/>
        </w:rPr>
        <w:t>向甲方</w:t>
      </w:r>
      <w:r>
        <w:rPr>
          <w:rFonts w:hint="default" w:ascii="仿宋_GB2312" w:hAnsi="仿宋_GB2312" w:eastAsia="仿宋_GB2312" w:cs="仿宋_GB2312"/>
          <w:sz w:val="28"/>
          <w:szCs w:val="28"/>
          <w:lang w:val="en-US" w:eastAsia="zh-CN"/>
        </w:rPr>
        <w:t>支付违约金，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有权解除与</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的所有业务合同，由此所造成的一切经济损失</w:t>
      </w:r>
      <w:r>
        <w:rPr>
          <w:rFonts w:hint="eastAsia" w:ascii="仿宋_GB2312" w:hAnsi="仿宋_GB2312" w:eastAsia="仿宋_GB2312" w:cs="仿宋_GB2312"/>
          <w:sz w:val="28"/>
          <w:szCs w:val="28"/>
          <w:lang w:val="en-US" w:eastAsia="zh-CN"/>
        </w:rPr>
        <w:t>均</w:t>
      </w:r>
      <w:r>
        <w:rPr>
          <w:rFonts w:hint="default" w:ascii="仿宋_GB2312" w:hAnsi="仿宋_GB2312" w:eastAsia="仿宋_GB2312" w:cs="仿宋_GB2312"/>
          <w:sz w:val="28"/>
          <w:szCs w:val="28"/>
          <w:lang w:val="en-US" w:eastAsia="zh-CN"/>
        </w:rPr>
        <w:t>由</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承担，同时</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有权将</w:t>
      </w:r>
      <w:r>
        <w:rPr>
          <w:rFonts w:hint="eastAsia" w:ascii="仿宋_GB2312" w:hAnsi="仿宋_GB2312" w:eastAsia="仿宋_GB2312" w:cs="仿宋_GB2312"/>
          <w:sz w:val="28"/>
          <w:szCs w:val="28"/>
          <w:lang w:val="en-US" w:eastAsia="zh-CN"/>
        </w:rPr>
        <w:t>乙方</w:t>
      </w:r>
      <w:r>
        <w:rPr>
          <w:rFonts w:hint="default" w:ascii="仿宋_GB2312" w:hAnsi="仿宋_GB2312" w:eastAsia="仿宋_GB2312" w:cs="仿宋_GB2312"/>
          <w:sz w:val="28"/>
          <w:szCs w:val="28"/>
          <w:lang w:val="en-US" w:eastAsia="zh-CN"/>
        </w:rPr>
        <w:t>列入</w:t>
      </w:r>
      <w:r>
        <w:rPr>
          <w:rFonts w:hint="eastAsia" w:ascii="仿宋_GB2312" w:hAnsi="仿宋_GB2312" w:eastAsia="仿宋_GB2312" w:cs="仿宋_GB2312"/>
          <w:sz w:val="28"/>
          <w:szCs w:val="28"/>
          <w:lang w:val="en-US" w:eastAsia="zh-CN"/>
        </w:rPr>
        <w:t>兴阳集团不诚信乙方库</w:t>
      </w:r>
      <w:r>
        <w:rPr>
          <w:rFonts w:hint="default"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val="en-US" w:eastAsia="zh-CN"/>
        </w:rPr>
        <w:t>并</w:t>
      </w:r>
      <w:r>
        <w:rPr>
          <w:rFonts w:hint="default" w:ascii="仿宋_GB2312" w:hAnsi="仿宋_GB2312" w:eastAsia="仿宋_GB2312" w:cs="仿宋_GB2312"/>
          <w:sz w:val="28"/>
          <w:szCs w:val="28"/>
          <w:lang w:val="en-US" w:eastAsia="zh-CN"/>
        </w:rPr>
        <w:t>永久排除在</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业务范围之外</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drawing>
          <wp:anchor distT="0" distB="0" distL="114300" distR="114300" simplePos="0" relativeHeight="251659264" behindDoc="1" locked="0" layoutInCell="1" allowOverlap="1">
            <wp:simplePos x="0" y="0"/>
            <wp:positionH relativeFrom="column">
              <wp:posOffset>3269615</wp:posOffset>
            </wp:positionH>
            <wp:positionV relativeFrom="paragraph">
              <wp:posOffset>1954530</wp:posOffset>
            </wp:positionV>
            <wp:extent cx="971550" cy="482600"/>
            <wp:effectExtent l="55880" t="210820" r="58420" b="220980"/>
            <wp:wrapNone/>
            <wp:docPr id="6" name="图片 5"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logo_副本"/>
                    <pic:cNvPicPr>
                      <a:picLocks noChangeAspect="1"/>
                    </pic:cNvPicPr>
                  </pic:nvPicPr>
                  <pic:blipFill>
                    <a:blip r:embed="rId20">
                      <a:grayscl/>
                      <a:lum bright="69995"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仿宋_GB2312" w:hAnsi="仿宋_GB2312" w:eastAsia="仿宋_GB2312" w:cs="仿宋_GB2312"/>
          <w:sz w:val="28"/>
          <w:szCs w:val="28"/>
        </w:rPr>
        <w:drawing>
          <wp:anchor distT="0" distB="0" distL="114300" distR="114300" simplePos="0" relativeHeight="251661312" behindDoc="1" locked="0" layoutInCell="1" allowOverlap="1">
            <wp:simplePos x="0" y="0"/>
            <wp:positionH relativeFrom="column">
              <wp:posOffset>2736215</wp:posOffset>
            </wp:positionH>
            <wp:positionV relativeFrom="paragraph">
              <wp:posOffset>1723390</wp:posOffset>
            </wp:positionV>
            <wp:extent cx="1485900" cy="495300"/>
            <wp:effectExtent l="24130" t="338455" r="33020" b="347345"/>
            <wp:wrapNone/>
            <wp:docPr id="1" name="图片 2" descr="兴阳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兴阳集团logo"/>
                    <pic:cNvPicPr>
                      <a:picLocks noChangeAspect="1"/>
                    </pic:cNvPicPr>
                  </pic:nvPicPr>
                  <pic:blipFill>
                    <a:blip r:embed="rId19">
                      <a:grayscl/>
                      <a:lum bright="69995" contrast="-70001"/>
                    </a:blip>
                    <a:stretch>
                      <a:fillRect/>
                    </a:stretch>
                  </pic:blipFill>
                  <pic:spPr>
                    <a:xfrm rot="-1800000">
                      <a:off x="0" y="0"/>
                      <a:ext cx="1485900" cy="4953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textAlignment w:val="auto"/>
        <w:outlineLvl w:val="9"/>
        <w:rPr>
          <w:rFonts w:hint="eastAsia" w:ascii="仿宋_GB2312" w:hAnsi="仿宋_GB2312" w:eastAsia="仿宋_GB2312" w:cs="仿宋_GB2312"/>
          <w:b/>
          <w:bCs/>
          <w:sz w:val="28"/>
          <w:szCs w:val="28"/>
          <w:lang w:val="en-US" w:eastAsia="zh-CN"/>
        </w:rPr>
      </w:pPr>
      <w:bookmarkStart w:id="135" w:name="_Toc6406"/>
      <w:bookmarkStart w:id="136" w:name="_Toc11279"/>
      <w:bookmarkStart w:id="137" w:name="_Toc13624"/>
      <w:r>
        <w:rPr>
          <w:rFonts w:hint="eastAsia" w:ascii="仿宋_GB2312" w:hAnsi="仿宋_GB2312" w:eastAsia="仿宋_GB2312" w:cs="仿宋_GB2312"/>
          <w:b/>
          <w:bCs/>
          <w:sz w:val="28"/>
          <w:szCs w:val="28"/>
          <w:lang w:val="en-US" w:eastAsia="zh-CN"/>
        </w:rPr>
        <w:t>十三、争议解决办法</w:t>
      </w:r>
      <w:bookmarkEnd w:id="135"/>
      <w:bookmarkEnd w:id="136"/>
      <w:bookmarkEnd w:id="137"/>
    </w:p>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1.甲乙双方因</w:t>
      </w:r>
      <w:r>
        <w:rPr>
          <w:rFonts w:hint="eastAsia" w:ascii="仿宋_GB2312" w:hAnsi="仿宋_GB2312" w:eastAsia="仿宋_GB2312" w:cs="仿宋_GB2312"/>
          <w:sz w:val="28"/>
          <w:szCs w:val="28"/>
        </w:rPr>
        <w:t>合同履行发生争议，双方本着友好合作的态度，对合同履行过程中发生的违约行为进行及时的协商解决，如不能协商解决可采取</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w:t>
      </w:r>
      <w:r>
        <w:rPr>
          <w:rFonts w:hint="eastAsia" w:ascii="仿宋_GB2312" w:hAnsi="仿宋_GB2312" w:eastAsia="仿宋_GB2312" w:cs="仿宋_GB2312"/>
          <w:sz w:val="28"/>
          <w:szCs w:val="28"/>
        </w:rPr>
        <w:t>方式解决。</w:t>
      </w:r>
    </w:p>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（1）向</w:t>
      </w:r>
      <w:r>
        <w:rPr>
          <w:rFonts w:hint="eastAsia" w:ascii="仿宋_GB2312" w:hAnsi="仿宋_GB2312" w:eastAsia="仿宋_GB2312" w:cs="仿宋_GB2312"/>
          <w:sz w:val="28"/>
          <w:szCs w:val="28"/>
          <w:lang w:eastAsia="zh-CN"/>
        </w:rPr>
        <w:t>甲方所在</w:t>
      </w:r>
      <w:r>
        <w:rPr>
          <w:rFonts w:hint="eastAsia" w:ascii="仿宋_GB2312" w:hAnsi="仿宋_GB2312" w:eastAsia="仿宋_GB2312" w:cs="仿宋_GB2312"/>
          <w:sz w:val="28"/>
          <w:szCs w:val="28"/>
        </w:rPr>
        <w:t>地法院通过诉讼解决。</w:t>
      </w:r>
    </w:p>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（2）向泸州仲裁委提请仲裁解决。</w:t>
      </w:r>
    </w:p>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采取诉讼方式解决争议的，违约方还应承担由此给相对方造成的一切经济损失，包括但不限于诉讼费、律师费、公告费、鉴定费等。</w:t>
      </w:r>
    </w:p>
    <w:p>
      <w:pPr>
        <w:keepNext w:val="0"/>
        <w:keepLines w:val="0"/>
        <w:pageBreakBefore w:val="0"/>
        <w:widowControl w:val="0"/>
        <w:kinsoku/>
        <w:wordWrap/>
        <w:overflowPunct/>
        <w:topLinePunct w:val="0"/>
        <w:bidi w:val="0"/>
        <w:spacing w:line="400" w:lineRule="exact"/>
        <w:ind w:firstLine="562" w:firstLineChars="200"/>
        <w:textAlignment w:val="auto"/>
        <w:outlineLvl w:val="9"/>
        <w:rPr>
          <w:rFonts w:hint="eastAsia" w:ascii="仿宋_GB2312" w:hAnsi="仿宋_GB2312" w:eastAsia="仿宋_GB2312" w:cs="仿宋_GB2312"/>
          <w:b/>
          <w:bCs/>
          <w:sz w:val="28"/>
          <w:szCs w:val="28"/>
          <w:highlight w:val="none"/>
        </w:rPr>
      </w:pPr>
      <w:bookmarkStart w:id="138" w:name="_Toc4823"/>
      <w:bookmarkStart w:id="139" w:name="_Toc17552"/>
      <w:bookmarkStart w:id="140" w:name="_Toc32132"/>
      <w:r>
        <w:rPr>
          <w:rFonts w:hint="eastAsia" w:ascii="仿宋_GB2312" w:hAnsi="仿宋_GB2312" w:eastAsia="仿宋_GB2312" w:cs="仿宋_GB2312"/>
          <w:b/>
          <w:bCs/>
          <w:sz w:val="28"/>
          <w:szCs w:val="28"/>
          <w:highlight w:val="none"/>
          <w:lang w:eastAsia="zh-CN"/>
        </w:rPr>
        <w:t>十</w:t>
      </w:r>
      <w:r>
        <w:rPr>
          <w:rFonts w:hint="eastAsia" w:ascii="仿宋_GB2312" w:hAnsi="仿宋_GB2312" w:eastAsia="仿宋_GB2312" w:cs="仿宋_GB2312"/>
          <w:b/>
          <w:bCs/>
          <w:sz w:val="28"/>
          <w:szCs w:val="28"/>
          <w:highlight w:val="none"/>
          <w:lang w:val="en-US" w:eastAsia="zh-CN"/>
        </w:rPr>
        <w:t>四</w:t>
      </w:r>
      <w:r>
        <w:rPr>
          <w:rFonts w:hint="eastAsia" w:ascii="仿宋_GB2312" w:hAnsi="仿宋_GB2312" w:eastAsia="仿宋_GB2312" w:cs="仿宋_GB2312"/>
          <w:b/>
          <w:bCs/>
          <w:sz w:val="28"/>
          <w:szCs w:val="28"/>
          <w:highlight w:val="none"/>
        </w:rPr>
        <w:t>、通知和送达</w:t>
      </w:r>
      <w:bookmarkEnd w:id="138"/>
      <w:bookmarkEnd w:id="139"/>
      <w:bookmarkEnd w:id="140"/>
    </w:p>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本合同所载</w:t>
      </w:r>
      <w:r>
        <w:rPr>
          <w:rFonts w:hint="eastAsia" w:ascii="仿宋_GB2312" w:hAnsi="仿宋_GB2312" w:eastAsia="仿宋_GB2312" w:cs="仿宋_GB2312"/>
          <w:sz w:val="28"/>
          <w:szCs w:val="28"/>
          <w:lang w:eastAsia="zh-CN"/>
        </w:rPr>
        <w:t>联系方式，是甲乙双方往来文件送达地址，</w:t>
      </w:r>
      <w:r>
        <w:rPr>
          <w:rFonts w:hint="eastAsia" w:ascii="仿宋_GB2312" w:hAnsi="仿宋_GB2312" w:eastAsia="仿宋_GB2312" w:cs="仿宋_GB2312"/>
          <w:sz w:val="28"/>
          <w:szCs w:val="28"/>
        </w:rPr>
        <w:t>也</w:t>
      </w:r>
      <w:r>
        <w:rPr>
          <w:rFonts w:hint="eastAsia" w:ascii="仿宋_GB2312" w:hAnsi="仿宋_GB2312" w:eastAsia="仿宋_GB2312" w:cs="仿宋_GB2312"/>
          <w:sz w:val="28"/>
          <w:szCs w:val="28"/>
        </w:rPr>
        <w:drawing>
          <wp:anchor distT="0" distB="0" distL="114300" distR="114300" simplePos="0" relativeHeight="251660288" behindDoc="1" locked="0" layoutInCell="1" allowOverlap="1">
            <wp:simplePos x="0" y="0"/>
            <wp:positionH relativeFrom="column">
              <wp:posOffset>3860165</wp:posOffset>
            </wp:positionH>
            <wp:positionV relativeFrom="paragraph">
              <wp:posOffset>-33655</wp:posOffset>
            </wp:positionV>
            <wp:extent cx="971550" cy="482600"/>
            <wp:effectExtent l="55880" t="210820" r="58420" b="220980"/>
            <wp:wrapNone/>
            <wp:docPr id="5" name="图片 6" descr="logo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logo_副本"/>
                    <pic:cNvPicPr>
                      <a:picLocks noChangeAspect="1"/>
                    </pic:cNvPicPr>
                  </pic:nvPicPr>
                  <pic:blipFill>
                    <a:blip r:embed="rId20">
                      <a:grayscl/>
                      <a:lum bright="69995" contrast="-70001"/>
                    </a:blip>
                    <a:stretch>
                      <a:fillRect/>
                    </a:stretch>
                  </pic:blipFill>
                  <pic:spPr>
                    <a:xfrm rot="-1800000">
                      <a:off x="0" y="0"/>
                      <a:ext cx="971550" cy="482600"/>
                    </a:xfrm>
                    <a:prstGeom prst="rect">
                      <a:avLst/>
                    </a:prstGeom>
                    <a:noFill/>
                    <a:ln>
                      <a:noFill/>
                    </a:ln>
                  </pic:spPr>
                </pic:pic>
              </a:graphicData>
            </a:graphic>
          </wp:anchor>
        </w:drawing>
      </w:r>
      <w:r>
        <w:rPr>
          <w:rFonts w:hint="eastAsia" w:ascii="仿宋_GB2312" w:hAnsi="仿宋_GB2312" w:eastAsia="仿宋_GB2312" w:cs="仿宋_GB2312"/>
          <w:sz w:val="28"/>
          <w:szCs w:val="28"/>
        </w:rPr>
        <w:t>是</w:t>
      </w:r>
      <w:r>
        <w:rPr>
          <w:rFonts w:hint="eastAsia" w:ascii="仿宋_GB2312" w:hAnsi="仿宋_GB2312" w:eastAsia="仿宋_GB2312" w:cs="仿宋_GB2312"/>
          <w:sz w:val="28"/>
          <w:szCs w:val="28"/>
          <w:lang w:eastAsia="zh-CN"/>
        </w:rPr>
        <w:t>产生纠纷后</w:t>
      </w:r>
      <w:r>
        <w:rPr>
          <w:rFonts w:hint="eastAsia" w:ascii="仿宋_GB2312" w:hAnsi="仿宋_GB2312" w:eastAsia="仿宋_GB2312" w:cs="仿宋_GB2312"/>
          <w:sz w:val="28"/>
          <w:szCs w:val="28"/>
        </w:rPr>
        <w:t>司法文书送达地址。</w:t>
      </w:r>
    </w:p>
    <w:p>
      <w:pPr>
        <w:keepNext w:val="0"/>
        <w:keepLines w:val="0"/>
        <w:pageBreakBefore w:val="0"/>
        <w:widowControl w:val="0"/>
        <w:numPr>
          <w:ilvl w:val="0"/>
          <w:numId w:val="0"/>
        </w:numPr>
        <w:kinsoku/>
        <w:wordWrap/>
        <w:overflowPunct/>
        <w:topLinePunct w:val="0"/>
        <w:bidi w:val="0"/>
        <w:spacing w:line="400" w:lineRule="exact"/>
        <w:ind w:firstLine="562" w:firstLineChars="200"/>
        <w:textAlignment w:val="auto"/>
        <w:outlineLvl w:val="9"/>
        <w:rPr>
          <w:rFonts w:hint="eastAsia" w:ascii="仿宋_GB2312" w:hAnsi="仿宋_GB2312" w:eastAsia="仿宋_GB2312" w:cs="仿宋_GB2312"/>
          <w:bCs/>
          <w:sz w:val="28"/>
          <w:szCs w:val="28"/>
          <w:lang w:eastAsia="zh-CN"/>
        </w:rPr>
      </w:pPr>
      <w:bookmarkStart w:id="141" w:name="_Toc22802"/>
      <w:bookmarkStart w:id="142" w:name="_Toc17349"/>
      <w:bookmarkStart w:id="143" w:name="_Toc30310"/>
      <w:r>
        <w:rPr>
          <w:rFonts w:hint="eastAsia" w:ascii="仿宋_GB2312" w:hAnsi="仿宋_GB2312" w:eastAsia="仿宋_GB2312" w:cs="仿宋_GB2312"/>
          <w:b/>
          <w:bCs w:val="0"/>
          <w:sz w:val="28"/>
          <w:szCs w:val="28"/>
          <w:lang w:eastAsia="zh-CN"/>
        </w:rPr>
        <w:t>十</w:t>
      </w:r>
      <w:r>
        <w:rPr>
          <w:rFonts w:hint="eastAsia" w:ascii="仿宋_GB2312" w:hAnsi="仿宋_GB2312" w:eastAsia="仿宋_GB2312" w:cs="仿宋_GB2312"/>
          <w:b/>
          <w:bCs w:val="0"/>
          <w:sz w:val="28"/>
          <w:szCs w:val="28"/>
          <w:lang w:val="en-US" w:eastAsia="zh-CN"/>
        </w:rPr>
        <w:t>五</w:t>
      </w:r>
      <w:r>
        <w:rPr>
          <w:rFonts w:hint="eastAsia" w:ascii="仿宋_GB2312" w:hAnsi="仿宋_GB2312" w:eastAsia="仿宋_GB2312" w:cs="仿宋_GB2312"/>
          <w:b/>
          <w:bCs w:val="0"/>
          <w:sz w:val="28"/>
          <w:szCs w:val="28"/>
          <w:lang w:eastAsia="zh-CN"/>
        </w:rPr>
        <w:t>、</w:t>
      </w:r>
      <w:r>
        <w:rPr>
          <w:rFonts w:hint="eastAsia" w:ascii="仿宋_GB2312" w:hAnsi="仿宋_GB2312" w:eastAsia="仿宋_GB2312" w:cs="仿宋_GB2312"/>
          <w:b/>
          <w:bCs w:val="0"/>
          <w:sz w:val="28"/>
          <w:szCs w:val="28"/>
        </w:rPr>
        <w:t>其他约定</w:t>
      </w:r>
      <w:bookmarkEnd w:id="141"/>
      <w:bookmarkEnd w:id="142"/>
      <w:bookmarkEnd w:id="143"/>
    </w:p>
    <w:p>
      <w:pPr>
        <w:keepNext w:val="0"/>
        <w:keepLines w:val="0"/>
        <w:pageBreakBefore w:val="0"/>
        <w:widowControl w:val="0"/>
        <w:kinsoku/>
        <w:wordWrap/>
        <w:overflowPunct/>
        <w:topLinePunct w:val="0"/>
        <w:bidi w:val="0"/>
        <w:spacing w:line="40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本合同未尽事宜，甲乙双方另行协商并签署补充协议。</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bCs/>
          <w:sz w:val="28"/>
          <w:szCs w:val="28"/>
        </w:rPr>
        <w:t>本合</w:t>
      </w:r>
      <w:r>
        <w:rPr>
          <w:rFonts w:hint="eastAsia" w:ascii="仿宋_GB2312" w:hAnsi="仿宋_GB2312" w:eastAsia="仿宋_GB2312" w:cs="仿宋_GB2312"/>
          <w:bCs/>
          <w:sz w:val="28"/>
          <w:szCs w:val="28"/>
          <w:highlight w:val="none"/>
        </w:rPr>
        <w:t>同一式</w:t>
      </w:r>
      <w:r>
        <w:rPr>
          <w:rFonts w:hint="eastAsia" w:ascii="仿宋_GB2312" w:hAnsi="仿宋_GB2312" w:eastAsia="仿宋_GB2312" w:cs="仿宋_GB2312"/>
          <w:bCs/>
          <w:sz w:val="28"/>
          <w:szCs w:val="28"/>
          <w:highlight w:val="none"/>
          <w:lang w:val="en-US" w:eastAsia="zh-CN"/>
        </w:rPr>
        <w:t>肆</w:t>
      </w:r>
      <w:r>
        <w:rPr>
          <w:rFonts w:hint="eastAsia" w:ascii="仿宋_GB2312" w:hAnsi="仿宋_GB2312" w:eastAsia="仿宋_GB2312" w:cs="仿宋_GB2312"/>
          <w:bCs/>
          <w:sz w:val="28"/>
          <w:szCs w:val="28"/>
          <w:highlight w:val="none"/>
        </w:rPr>
        <w:t>份，甲方叁份，乙方</w:t>
      </w:r>
      <w:r>
        <w:rPr>
          <w:rFonts w:hint="eastAsia" w:ascii="仿宋_GB2312" w:hAnsi="仿宋_GB2312" w:eastAsia="仿宋_GB2312" w:cs="仿宋_GB2312"/>
          <w:bCs/>
          <w:sz w:val="28"/>
          <w:szCs w:val="28"/>
          <w:highlight w:val="none"/>
          <w:lang w:val="en-US" w:eastAsia="zh-CN"/>
        </w:rPr>
        <w:t>壹</w:t>
      </w:r>
      <w:r>
        <w:rPr>
          <w:rFonts w:hint="eastAsia" w:ascii="仿宋_GB2312" w:hAnsi="仿宋_GB2312" w:eastAsia="仿宋_GB2312" w:cs="仿宋_GB2312"/>
          <w:bCs/>
          <w:sz w:val="28"/>
          <w:szCs w:val="28"/>
          <w:highlight w:val="none"/>
        </w:rPr>
        <w:t>份，</w:t>
      </w:r>
      <w:r>
        <w:rPr>
          <w:rFonts w:hint="eastAsia" w:ascii="仿宋_GB2312" w:hAnsi="仿宋_GB2312" w:eastAsia="仿宋_GB2312" w:cs="仿宋_GB2312"/>
          <w:bCs/>
          <w:sz w:val="28"/>
          <w:szCs w:val="28"/>
        </w:rPr>
        <w:t>具有同等法律效力。自双方法定</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或授权）</w:t>
      </w:r>
      <w:r>
        <w:rPr>
          <w:rFonts w:hint="eastAsia" w:ascii="仿宋_GB2312" w:hAnsi="仿宋_GB2312" w:eastAsia="仿宋_GB2312" w:cs="仿宋_GB2312"/>
          <w:bCs/>
          <w:sz w:val="28"/>
          <w:szCs w:val="28"/>
        </w:rPr>
        <w:t>代表人签字并加盖单位</w:t>
      </w:r>
      <w:r>
        <w:rPr>
          <w:rFonts w:hint="eastAsia" w:ascii="仿宋_GB2312" w:hAnsi="仿宋_GB2312" w:eastAsia="仿宋_GB2312" w:cs="仿宋_GB2312"/>
          <w:bCs/>
          <w:sz w:val="28"/>
          <w:szCs w:val="28"/>
          <w:lang w:val="en-US" w:eastAsia="zh-CN"/>
        </w:rPr>
        <w:t>公章或合同专用章</w:t>
      </w:r>
      <w:r>
        <w:rPr>
          <w:rFonts w:hint="eastAsia" w:ascii="仿宋_GB2312" w:hAnsi="仿宋_GB2312" w:eastAsia="仿宋_GB2312" w:cs="仿宋_GB2312"/>
          <w:sz w:val="28"/>
          <w:szCs w:val="28"/>
        </w:rPr>
        <w:t>之日起生效。</w:t>
      </w:r>
    </w:p>
    <w:p>
      <w:pPr>
        <w:pStyle w:val="2"/>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附件：江阳公园污水泵维修明细表</w:t>
      </w:r>
    </w:p>
    <w:p>
      <w:pPr>
        <w:pStyle w:val="2"/>
        <w:rPr>
          <w:rFonts w:hint="eastAsia" w:ascii="仿宋_GB2312" w:hAnsi="仿宋_GB2312" w:eastAsia="仿宋_GB2312" w:cs="仿宋_GB2312"/>
          <w:sz w:val="28"/>
          <w:szCs w:val="28"/>
        </w:rPr>
      </w:pPr>
    </w:p>
    <w:tbl>
      <w:tblPr>
        <w:tblStyle w:val="1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2"/>
        <w:gridCol w:w="4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jc w:val="center"/>
        </w:trPr>
        <w:tc>
          <w:tcPr>
            <w:tcW w:w="4220" w:type="dxa"/>
            <w:tcBorders>
              <w:tl2br w:val="nil"/>
              <w:tr2bl w:val="nil"/>
            </w:tcBorders>
            <w:noWrap w:val="0"/>
            <w:vAlign w:val="top"/>
          </w:tcPr>
          <w:p>
            <w:pPr>
              <w:rPr>
                <w:rFonts w:hint="eastAsia" w:ascii="楷体" w:hAnsi="楷体" w:eastAsia="楷体" w:cs="楷体"/>
                <w:vertAlign w:val="baseline"/>
              </w:rPr>
            </w:pPr>
            <w:r>
              <w:rPr>
                <w:rFonts w:hint="eastAsia" w:ascii="楷体" w:hAnsi="楷体" w:eastAsia="楷体" w:cs="楷体"/>
                <w:sz w:val="28"/>
                <w:szCs w:val="28"/>
              </w:rPr>
              <w:t>甲 方</w:t>
            </w:r>
            <w:r>
              <w:rPr>
                <w:rFonts w:hint="eastAsia" w:ascii="楷体" w:hAnsi="楷体" w:eastAsia="楷体" w:cs="楷体"/>
                <w:sz w:val="28"/>
                <w:szCs w:val="28"/>
                <w:lang w:eastAsia="zh-CN"/>
              </w:rPr>
              <w:t>：</w:t>
            </w:r>
            <w:r>
              <w:rPr>
                <w:rFonts w:hint="eastAsia" w:ascii="楷体" w:hAnsi="楷体" w:eastAsia="楷体" w:cs="楷体"/>
                <w:sz w:val="28"/>
                <w:szCs w:val="28"/>
              </w:rPr>
              <w:t>（盖章）</w:t>
            </w:r>
          </w:p>
        </w:tc>
        <w:tc>
          <w:tcPr>
            <w:tcW w:w="44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乙 方</w:t>
            </w:r>
            <w:r>
              <w:rPr>
                <w:rFonts w:hint="eastAsia" w:ascii="楷体" w:hAnsi="楷体" w:eastAsia="楷体" w:cs="楷体"/>
                <w:sz w:val="28"/>
                <w:szCs w:val="28"/>
                <w:lang w:eastAsia="zh-CN"/>
              </w:rPr>
              <w:t>：</w:t>
            </w:r>
            <w:r>
              <w:rPr>
                <w:rFonts w:hint="eastAsia" w:ascii="楷体" w:hAnsi="楷体" w:eastAsia="楷体" w:cs="楷体"/>
                <w:sz w:val="28"/>
                <w:szCs w:val="28"/>
              </w:rPr>
              <w:t>（盖章）</w:t>
            </w:r>
          </w:p>
          <w:p>
            <w:pPr>
              <w:rPr>
                <w:rFonts w:hint="eastAsia" w:ascii="楷体" w:hAnsi="楷体" w:eastAsia="楷体" w:cs="楷体"/>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pPr>
              <w:rPr>
                <w:rFonts w:hint="eastAsia" w:ascii="楷体" w:hAnsi="楷体" w:eastAsia="楷体" w:cs="楷体"/>
                <w:vertAlign w:val="baseline"/>
              </w:rPr>
            </w:pPr>
            <w:r>
              <w:rPr>
                <w:rFonts w:hint="eastAsia" w:ascii="楷体" w:hAnsi="楷体" w:eastAsia="楷体" w:cs="楷体"/>
                <w:sz w:val="28"/>
                <w:szCs w:val="28"/>
              </w:rPr>
              <w:t>或委托代理人：</w:t>
            </w:r>
          </w:p>
        </w:tc>
        <w:tc>
          <w:tcPr>
            <w:tcW w:w="440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楷体" w:hAnsi="楷体" w:eastAsia="楷体" w:cs="楷体"/>
                <w:sz w:val="28"/>
                <w:szCs w:val="28"/>
              </w:rPr>
            </w:pPr>
            <w:r>
              <w:rPr>
                <w:rFonts w:hint="eastAsia" w:ascii="楷体" w:hAnsi="楷体" w:eastAsia="楷体" w:cs="楷体"/>
                <w:sz w:val="28"/>
                <w:szCs w:val="28"/>
              </w:rPr>
              <w:t>法定代表人：</w:t>
            </w:r>
          </w:p>
          <w:p>
            <w:pPr>
              <w:rPr>
                <w:rFonts w:hint="eastAsia" w:ascii="楷体" w:hAnsi="楷体" w:eastAsia="楷体" w:cs="楷体"/>
                <w:vertAlign w:val="baseline"/>
              </w:rPr>
            </w:pPr>
            <w:r>
              <w:rPr>
                <w:rFonts w:hint="eastAsia" w:ascii="楷体" w:hAnsi="楷体" w:eastAsia="楷体" w:cs="楷体"/>
                <w:sz w:val="28"/>
                <w:szCs w:val="28"/>
              </w:rPr>
              <w:t>或委托代理人：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pPr>
              <w:rPr>
                <w:rFonts w:hint="eastAsia" w:ascii="楷体" w:hAnsi="楷体" w:eastAsia="楷体" w:cs="楷体"/>
                <w:sz w:val="28"/>
                <w:szCs w:val="28"/>
              </w:rPr>
            </w:pPr>
            <w:r>
              <w:rPr>
                <w:rFonts w:hint="eastAsia" w:ascii="楷体" w:hAnsi="楷体" w:eastAsia="楷体" w:cs="楷体"/>
                <w:sz w:val="28"/>
                <w:szCs w:val="24"/>
                <w:highlight w:val="none"/>
              </w:rPr>
              <w:t>开户银行：</w:t>
            </w:r>
            <w:r>
              <w:rPr>
                <w:rFonts w:hint="eastAsia" w:ascii="楷体" w:hAnsi="楷体" w:eastAsia="楷体" w:cs="楷体"/>
                <w:sz w:val="28"/>
                <w:szCs w:val="24"/>
                <w:highlight w:val="none"/>
                <w:lang w:val="en-US" w:eastAsia="zh-CN"/>
              </w:rPr>
              <w:t>泸州银行营业部</w:t>
            </w:r>
          </w:p>
        </w:tc>
        <w:tc>
          <w:tcPr>
            <w:tcW w:w="4400" w:type="dxa"/>
            <w:tcBorders>
              <w:tl2br w:val="nil"/>
              <w:tr2bl w:val="nil"/>
            </w:tcBorders>
            <w:noWrap w:val="0"/>
            <w:vAlign w:val="top"/>
          </w:tcPr>
          <w:p>
            <w:pPr>
              <w:rPr>
                <w:rFonts w:hint="eastAsia" w:ascii="楷体" w:hAnsi="楷体" w:eastAsia="楷体" w:cs="楷体"/>
                <w:sz w:val="28"/>
                <w:szCs w:val="28"/>
                <w:lang w:val="en-US" w:eastAsia="zh-CN"/>
              </w:rPr>
            </w:pPr>
            <w:r>
              <w:rPr>
                <w:rFonts w:hint="eastAsia" w:ascii="楷体" w:hAnsi="楷体" w:eastAsia="楷体" w:cs="楷体"/>
                <w:sz w:val="28"/>
                <w:szCs w:val="24"/>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4220" w:type="dxa"/>
            <w:tcBorders>
              <w:tl2br w:val="nil"/>
              <w:tr2bl w:val="nil"/>
            </w:tcBorders>
            <w:noWrap w:val="0"/>
            <w:vAlign w:val="top"/>
          </w:tcPr>
          <w:p>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c>
          <w:tcPr>
            <w:tcW w:w="4400" w:type="dxa"/>
            <w:tcBorders>
              <w:tl2br w:val="nil"/>
              <w:tr2bl w:val="nil"/>
            </w:tcBorders>
            <w:noWrap w:val="0"/>
            <w:vAlign w:val="top"/>
          </w:tcPr>
          <w:p>
            <w:pPr>
              <w:rPr>
                <w:rFonts w:hint="eastAsia" w:ascii="楷体" w:hAnsi="楷体" w:eastAsia="楷体" w:cs="楷体"/>
                <w:sz w:val="28"/>
                <w:szCs w:val="28"/>
              </w:rPr>
            </w:pPr>
            <w:r>
              <w:rPr>
                <w:rFonts w:hint="eastAsia" w:ascii="楷体" w:hAnsi="楷体" w:eastAsia="楷体" w:cs="楷体"/>
                <w:sz w:val="28"/>
                <w:szCs w:val="24"/>
                <w:highlight w:val="none"/>
              </w:rPr>
              <w:t xml:space="preserve">账    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20" w:type="dxa"/>
            <w:tcBorders>
              <w:tl2br w:val="nil"/>
              <w:tr2bl w:val="nil"/>
            </w:tcBorders>
            <w:noWrap w:val="0"/>
            <w:vAlign w:val="top"/>
          </w:tcPr>
          <w:p>
            <w:pPr>
              <w:rPr>
                <w:rFonts w:hint="eastAsia" w:ascii="楷体" w:hAnsi="楷体" w:eastAsia="楷体" w:cs="楷体"/>
                <w:kern w:val="2"/>
                <w:sz w:val="21"/>
                <w:szCs w:val="22"/>
                <w:vertAlign w:val="baseline"/>
                <w:lang w:val="en-US" w:eastAsia="zh-CN" w:bidi="ar-SA"/>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2026</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c>
          <w:tcPr>
            <w:tcW w:w="4400" w:type="dxa"/>
            <w:tcBorders>
              <w:tl2br w:val="nil"/>
              <w:tr2bl w:val="nil"/>
            </w:tcBorders>
            <w:noWrap w:val="0"/>
            <w:vAlign w:val="top"/>
          </w:tcPr>
          <w:p>
            <w:pPr>
              <w:rPr>
                <w:rFonts w:hint="eastAsia" w:ascii="楷体" w:hAnsi="楷体" w:eastAsia="楷体" w:cs="楷体"/>
                <w:vertAlign w:val="baseline"/>
              </w:rPr>
            </w:pPr>
            <w:r>
              <w:rPr>
                <w:rFonts w:hint="eastAsia" w:ascii="楷体" w:hAnsi="楷体" w:eastAsia="楷体" w:cs="楷体"/>
                <w:sz w:val="28"/>
                <w:szCs w:val="28"/>
              </w:rPr>
              <w:t>签订日期：</w:t>
            </w:r>
            <w:r>
              <w:rPr>
                <w:rFonts w:hint="eastAsia" w:ascii="楷体" w:hAnsi="楷体" w:eastAsia="楷体" w:cs="楷体"/>
                <w:sz w:val="28"/>
                <w:szCs w:val="28"/>
                <w:lang w:val="en-US" w:eastAsia="zh-CN"/>
              </w:rPr>
              <w:t>2026</w:t>
            </w:r>
            <w:r>
              <w:rPr>
                <w:rFonts w:hint="eastAsia" w:ascii="楷体" w:hAnsi="楷体" w:eastAsia="楷体" w:cs="楷体"/>
                <w:sz w:val="28"/>
                <w:szCs w:val="28"/>
              </w:rPr>
              <w:t>年</w:t>
            </w:r>
            <w:r>
              <w:rPr>
                <w:rFonts w:hint="eastAsia" w:ascii="楷体" w:hAnsi="楷体" w:eastAsia="楷体" w:cs="楷体"/>
                <w:sz w:val="28"/>
                <w:szCs w:val="28"/>
                <w:lang w:val="en-US" w:eastAsia="zh-CN"/>
              </w:rPr>
              <w:t xml:space="preserve"> </w:t>
            </w:r>
            <w:r>
              <w:rPr>
                <w:rFonts w:hint="eastAsia" w:ascii="楷体" w:hAnsi="楷体" w:eastAsia="楷体" w:cs="楷体"/>
                <w:sz w:val="28"/>
                <w:szCs w:val="28"/>
              </w:rPr>
              <w:t xml:space="preserve">月  日 　     </w:t>
            </w:r>
          </w:p>
        </w:tc>
      </w:tr>
    </w:tbl>
    <w:p/>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0"/>
                      <w:jc w:val="center"/>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20"/>
      </w:rPr>
    </w:pPr>
    <w:r>
      <w:fldChar w:fldCharType="begin"/>
    </w:r>
    <w:r>
      <w:rPr>
        <w:rStyle w:val="20"/>
      </w:rPr>
      <w:instrText xml:space="preserve">PAGE  </w:instrText>
    </w:r>
    <w:r>
      <w:fldChar w:fldCharType="end"/>
    </w:r>
  </w:p>
  <w:p>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4"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1" o:spid="_x0000_s4105" o:spt="136" type="#_x0000_t136" style="position:absolute;left:0pt;height:30.8pt;width:554.5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PowerPlusWaterMarkObject198093790" o:spid="_x0000_s4103"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A385D438"/>
    <w:multiLevelType w:val="singleLevel"/>
    <w:tmpl w:val="A385D438"/>
    <w:lvl w:ilvl="0" w:tentative="0">
      <w:start w:val="6"/>
      <w:numFmt w:val="chineseCounting"/>
      <w:suff w:val="nothing"/>
      <w:lvlText w:val="%1、"/>
      <w:lvlJc w:val="left"/>
      <w:rPr>
        <w:rFonts w:hint="eastAsia"/>
      </w:rPr>
    </w:lvl>
  </w:abstractNum>
  <w:abstractNum w:abstractNumId="2">
    <w:nsid w:val="F7BF037E"/>
    <w:multiLevelType w:val="singleLevel"/>
    <w:tmpl w:val="F7BF037E"/>
    <w:lvl w:ilvl="0" w:tentative="0">
      <w:start w:val="1"/>
      <w:numFmt w:val="decimal"/>
      <w:lvlText w:val="%1."/>
      <w:lvlJc w:val="left"/>
      <w:pPr>
        <w:tabs>
          <w:tab w:val="left" w:pos="312"/>
        </w:tabs>
      </w:pPr>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A2D02"/>
    <w:rsid w:val="0075194C"/>
    <w:rsid w:val="01C901A1"/>
    <w:rsid w:val="027E47CE"/>
    <w:rsid w:val="054A15F9"/>
    <w:rsid w:val="0B1C1D90"/>
    <w:rsid w:val="112D1B73"/>
    <w:rsid w:val="16597CCB"/>
    <w:rsid w:val="16F14633"/>
    <w:rsid w:val="186528EA"/>
    <w:rsid w:val="1CC96948"/>
    <w:rsid w:val="1E9F255E"/>
    <w:rsid w:val="201A3835"/>
    <w:rsid w:val="220426D8"/>
    <w:rsid w:val="25E90563"/>
    <w:rsid w:val="2718121A"/>
    <w:rsid w:val="28A228C0"/>
    <w:rsid w:val="2B6A4843"/>
    <w:rsid w:val="40AF10F4"/>
    <w:rsid w:val="414F52C6"/>
    <w:rsid w:val="43192030"/>
    <w:rsid w:val="4896193F"/>
    <w:rsid w:val="4C7C718B"/>
    <w:rsid w:val="4C8524E4"/>
    <w:rsid w:val="4E710F72"/>
    <w:rsid w:val="4E8D742E"/>
    <w:rsid w:val="4F1D3A2A"/>
    <w:rsid w:val="50B30973"/>
    <w:rsid w:val="543842E0"/>
    <w:rsid w:val="575E405D"/>
    <w:rsid w:val="58C47EF0"/>
    <w:rsid w:val="60DA2D02"/>
    <w:rsid w:val="62D60F4C"/>
    <w:rsid w:val="64426A64"/>
    <w:rsid w:val="6C784183"/>
    <w:rsid w:val="6D395817"/>
    <w:rsid w:val="6F812DC3"/>
    <w:rsid w:val="70AA6BFA"/>
    <w:rsid w:val="72243B9B"/>
    <w:rsid w:val="768F0136"/>
    <w:rsid w:val="7BC03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26"/>
    <w:qFormat/>
    <w:uiPriority w:val="0"/>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utoSpaceDE w:val="0"/>
      <w:autoSpaceDN w:val="0"/>
      <w:adjustRightInd w:val="0"/>
    </w:pPr>
    <w:rPr>
      <w:rFonts w:ascii="宋体" w:hAnsi="Times New Roman"/>
      <w:kern w:val="0"/>
      <w:szCs w:val="20"/>
    </w:rPr>
  </w:style>
  <w:style w:type="paragraph" w:styleId="4">
    <w:name w:val="Body Text"/>
    <w:basedOn w:val="1"/>
    <w:next w:val="5"/>
    <w:unhideWhenUsed/>
    <w:qFormat/>
    <w:uiPriority w:val="99"/>
    <w:pPr>
      <w:spacing w:after="120"/>
    </w:pPr>
  </w:style>
  <w:style w:type="paragraph" w:customStyle="1" w:styleId="5">
    <w:name w:val="一级条标题"/>
    <w:basedOn w:val="6"/>
    <w:next w:val="7"/>
    <w:qFormat/>
    <w:uiPriority w:val="0"/>
    <w:pPr>
      <w:spacing w:line="240" w:lineRule="auto"/>
      <w:ind w:left="420"/>
      <w:outlineLvl w:val="2"/>
    </w:pPr>
  </w:style>
  <w:style w:type="paragraph" w:customStyle="1" w:styleId="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8">
    <w:name w:val="Body Text Indent"/>
    <w:basedOn w:val="1"/>
    <w:qFormat/>
    <w:uiPriority w:val="0"/>
    <w:pPr>
      <w:ind w:firstLine="630"/>
    </w:pPr>
    <w:rPr>
      <w:sz w:val="32"/>
      <w:szCs w:val="20"/>
    </w:rPr>
  </w:style>
  <w:style w:type="paragraph" w:styleId="9">
    <w:name w:val="toc 3"/>
    <w:basedOn w:val="1"/>
    <w:next w:val="1"/>
    <w:qFormat/>
    <w:uiPriority w:val="0"/>
    <w:pPr>
      <w:ind w:left="840" w:leftChars="400"/>
    </w:pPr>
  </w:style>
  <w:style w:type="paragraph" w:styleId="10">
    <w:name w:val="footer"/>
    <w:basedOn w:val="1"/>
    <w:next w:val="11"/>
    <w:qFormat/>
    <w:uiPriority w:val="99"/>
    <w:pPr>
      <w:tabs>
        <w:tab w:val="center" w:pos="4153"/>
        <w:tab w:val="right" w:pos="8306"/>
      </w:tabs>
      <w:snapToGrid w:val="0"/>
      <w:jc w:val="left"/>
    </w:pPr>
    <w:rPr>
      <w:sz w:val="18"/>
      <w:szCs w:val="20"/>
    </w:rPr>
  </w:style>
  <w:style w:type="paragraph" w:styleId="11">
    <w:name w:val="List Paragraph"/>
    <w:basedOn w:val="1"/>
    <w:qFormat/>
    <w:uiPriority w:val="1"/>
    <w:pPr>
      <w:ind w:firstLine="420" w:firstLineChars="200"/>
    </w:pPr>
    <w:rPr>
      <w:rFonts w:ascii="Calibri" w:hAnsi="Calibri"/>
      <w:szCs w:val="22"/>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6">
    <w:name w:val="Body Text First Indent"/>
    <w:basedOn w:val="4"/>
    <w:unhideWhenUsed/>
    <w:qFormat/>
    <w:uiPriority w:val="99"/>
    <w:pPr>
      <w:ind w:firstLine="420" w:firstLineChars="1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character" w:styleId="21">
    <w:name w:val="Hyperlink"/>
    <w:qFormat/>
    <w:uiPriority w:val="99"/>
    <w:rPr>
      <w:color w:val="0000FF"/>
      <w:u w:val="single"/>
    </w:rPr>
  </w:style>
  <w:style w:type="character" w:styleId="22">
    <w:name w:val="annotation reference"/>
    <w:qFormat/>
    <w:uiPriority w:val="0"/>
    <w:rPr>
      <w:sz w:val="21"/>
      <w:szCs w:val="21"/>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6">
    <w:name w:val="标题 3 Char"/>
    <w:link w:val="3"/>
    <w:qFormat/>
    <w:uiPriority w:val="9"/>
    <w:rPr>
      <w:b/>
      <w:bCs/>
      <w:sz w:val="32"/>
      <w:szCs w:val="32"/>
    </w:rPr>
  </w:style>
  <w:style w:type="paragraph" w:customStyle="1" w:styleId="27">
    <w:name w:val="列出段落1"/>
    <w:basedOn w:val="1"/>
    <w:qFormat/>
    <w:uiPriority w:val="34"/>
    <w:pPr>
      <w:ind w:firstLine="420" w:firstLineChars="200"/>
    </w:pPr>
    <w:rPr>
      <w:rFonts w:ascii="Calibri" w:hAnsi="Calibri" w:eastAsia="宋体" w:cs="Times New Roman"/>
      <w:szCs w:val="22"/>
    </w:rPr>
  </w:style>
  <w:style w:type="paragraph" w:customStyle="1" w:styleId="28">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10762</Words>
  <Characters>11488</Characters>
  <Lines>0</Lines>
  <Paragraphs>0</Paragraphs>
  <TotalTime>288</TotalTime>
  <ScaleCrop>false</ScaleCrop>
  <LinksUpToDate>false</LinksUpToDate>
  <CharactersWithSpaces>11700</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2025-12-19T01:23:00Z</dcterms:created>
  <dc:creator>Lili</dc:creator>
  <cp:lastModifiedBy>forewer   love</cp:lastModifiedBy>
  <cp:lastPrinted>2026-03-12T02:45:00Z</cp:lastPrinted>
  <dcterms:modified xsi:type="dcterms:W3CDTF">2026-03-17T08:28:43Z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A6D73DB29CAB44498BE1DAD01CB3D5D0_13</vt:lpwstr>
  </property>
  <property fmtid="{D5CDD505-2E9C-101B-9397-08002B2CF9AE}" pid="4" name="KSOTemplateDocerSaveRecord">
    <vt:lpwstr>eyJoZGlkIjoiODNhZGY4ZmZlNTM1NjAyYzQ0M2QxOTA4MmNiZjBmMzgiLCJ1c2VySWQiOiI2MTQ4Mzc4MDgifQ==</vt:lpwstr>
  </property>
</Properties>
</file>